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rPr>
          <w:rFonts w:ascii="Tahoma" w:hAnsi="Tahoma" w:cs="Tahoma"/>
          <w:b/>
          <w:b/>
          <w:bCs/>
          <w:kern w:val="2"/>
        </w:rPr>
      </w:pPr>
      <w:r>
        <w:rPr>
          <w:rFonts w:cs="Tahoma" w:ascii="Tahoma" w:hAnsi="Tahoma"/>
          <w:b/>
          <w:bCs/>
          <w:kern w:val="2"/>
        </w:rPr>
        <w:t>EXMº SR. DR. JUIZ VICE-PRESIDENTE DO TRIBUNAL DE ALÇADA CRIMINAL DO ESTADO DO RIO DE JANEIRO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FULANO DE TAL, advogado CIDADE/UF titular e em exercício no órgão TAL junto ao juízo da 00ª Vara Criminal Regional de CIDADE/UF, com fulcro no art. 5º, inciso LXVIII da Constituição da República, e nos termos dos artigos 647 a 667 do CPP, vem à V.Ex.ª impetrar o presente</w:t>
      </w:r>
    </w:p>
    <w:p>
      <w:pPr>
        <w:pStyle w:val="Normal"/>
        <w:widowControl w:val="false"/>
        <w:numPr>
          <w:ilvl w:val="0"/>
          <w:numId w:val="0"/>
        </w:numPr>
        <w:overflowPunct w:val="true"/>
        <w:outlineLvl w:val="0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numPr>
          <w:ilvl w:val="0"/>
          <w:numId w:val="0"/>
        </w:numPr>
        <w:overflowPunct w:val="true"/>
        <w:outlineLvl w:val="0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numPr>
          <w:ilvl w:val="0"/>
          <w:numId w:val="0"/>
        </w:numPr>
        <w:overflowPunct w:val="true"/>
        <w:outlineLvl w:val="0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  <w:t>HABEAS CORPUS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com pedido de </w:t>
      </w:r>
      <w:r>
        <w:rPr>
          <w:rFonts w:cs="Tahoma" w:ascii="Tahoma" w:hAnsi="Tahoma"/>
          <w:b/>
          <w:kern w:val="2"/>
        </w:rPr>
        <w:t>LIMINAR</w:t>
      </w:r>
      <w:r>
        <w:rPr>
          <w:rFonts w:cs="Tahoma" w:ascii="Tahoma" w:hAnsi="Tahoma"/>
          <w:kern w:val="2"/>
        </w:rPr>
        <w:t xml:space="preserve">, 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kern w:val="2"/>
        </w:rPr>
        <w:t>, pelos seguintes motivos e jurídicos fundamentos.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bCs/>
          <w:kern w:val="2"/>
        </w:rPr>
      </w:pPr>
      <w:r>
        <w:rPr>
          <w:rFonts w:cs="Tahoma" w:ascii="Tahoma" w:hAnsi="Tahoma"/>
          <w:b/>
          <w:bCs/>
          <w:kern w:val="2"/>
        </w:rPr>
        <w:t>DA AUTORIDADE COATORA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Juízo da Segunda Vara Criminal Regional de CIDADE/UF, da comarca da capital, no Pr</w:t>
      </w:r>
      <w:r>
        <w:rPr>
          <w:rFonts w:cs="Tahoma" w:ascii="Tahoma" w:hAnsi="Tahoma"/>
          <w:b/>
          <w:kern w:val="2"/>
        </w:rPr>
        <w:t xml:space="preserve">. </w:t>
      </w:r>
      <w:r>
        <w:rPr>
          <w:rFonts w:cs="Tahoma" w:ascii="Tahoma" w:hAnsi="Tahoma"/>
          <w:bCs/>
          <w:kern w:val="2"/>
        </w:rPr>
        <w:t>0000000</w:t>
      </w:r>
      <w:r>
        <w:rPr>
          <w:rFonts w:cs="Tahoma" w:ascii="Tahoma" w:hAnsi="Tahoma"/>
          <w:b/>
          <w:kern w:val="2"/>
        </w:rPr>
        <w:t>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bCs/>
          <w:kern w:val="2"/>
        </w:rPr>
      </w:pPr>
      <w:r>
        <w:rPr>
          <w:rFonts w:cs="Tahoma" w:ascii="Tahoma" w:hAnsi="Tahoma"/>
          <w:b/>
          <w:bCs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bCs/>
          <w:kern w:val="2"/>
        </w:rPr>
      </w:pPr>
      <w:r>
        <w:rPr>
          <w:rFonts w:cs="Tahoma" w:ascii="Tahoma" w:hAnsi="Tahoma"/>
          <w:b/>
          <w:bCs/>
          <w:kern w:val="2"/>
        </w:rPr>
        <w:t>DOS FATOS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O paciente foi condenado pelo juízo coator às penas de 000 anos de reclusão e 00 dias-multa, por suposta infração ao art.157, § 2º, I e II, do CP, com fixação do regime fechado para início de cumprimento da pena.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Interposta apelação não foi esta recebida, já que a sentença negou-lhe apelar em liberdade.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Este o motivo do presente HC.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O ínclito julgador, quando da análise das circunstâncias judicias do art.5000 do CP, assim fundamentou a fixação da pena-base: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ind w:left="1134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possuem  antecedentes, mas, por outro lado não há prova no processo de situações laborativas normais. Têm personalidades desajustadas e as consequencias do crime deixam a vítima traumatizada. Por tais razões, fixo a pena distanciada do mínimo legal, em 6 (seis) anos de reclusão e 50 (cinquenta) dias-multa”.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A seguir foi a pena-base aumentada de metade pela incidência das qualificadoras, resultando a pena corporal definitiva de nove anos de reclusão.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kern w:val="2"/>
        </w:rPr>
        <w:t xml:space="preserve">Por fim o juiz sentenciante determinou que </w:t>
      </w:r>
      <w:r>
        <w:rPr>
          <w:rFonts w:cs="Tahoma" w:ascii="Tahoma" w:hAnsi="Tahoma"/>
          <w:b/>
          <w:kern w:val="2"/>
        </w:rPr>
        <w:t>“os acusados não poderão apelar em liberdade, consoante o art. 50004 do CPP”.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Assim, </w:t>
      </w:r>
      <w:r>
        <w:rPr>
          <w:rFonts w:cs="Tahoma" w:ascii="Tahoma" w:hAnsi="Tahoma"/>
          <w:b/>
          <w:kern w:val="2"/>
        </w:rPr>
        <w:t>após reconhecer que o paciente não possui qualquer antecedente criminal</w:t>
      </w:r>
      <w:r>
        <w:rPr>
          <w:rFonts w:cs="Tahoma" w:ascii="Tahoma" w:hAnsi="Tahoma"/>
          <w:kern w:val="2"/>
        </w:rPr>
        <w:t xml:space="preserve">, além de fixar a pena base acima do mínimo legal, invocando circunstâncias descabidas, negou-lhe o direito de apelar em liberdade </w:t>
      </w:r>
      <w:r>
        <w:rPr>
          <w:rFonts w:cs="Tahoma" w:ascii="Tahoma" w:hAnsi="Tahoma"/>
          <w:b/>
          <w:kern w:val="2"/>
        </w:rPr>
        <w:t>nos termos do art. 50004</w:t>
      </w:r>
      <w:r>
        <w:rPr>
          <w:rFonts w:cs="Tahoma" w:ascii="Tahoma" w:hAnsi="Tahoma"/>
          <w:kern w:val="2"/>
        </w:rPr>
        <w:t xml:space="preserve"> do codex processual, cuja norma garante tal direito </w:t>
      </w:r>
      <w:r>
        <w:rPr>
          <w:rFonts w:cs="Tahoma" w:ascii="Tahoma" w:hAnsi="Tahoma"/>
          <w:b/>
          <w:kern w:val="2"/>
        </w:rPr>
        <w:t>ao réu primário e de bons antecedentes assim reconhecido expressamente na sentença</w:t>
      </w:r>
      <w:r>
        <w:rPr>
          <w:rFonts w:cs="Tahoma" w:ascii="Tahoma" w:hAnsi="Tahoma"/>
          <w:kern w:val="2"/>
        </w:rPr>
        <w:t>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Ocorre que, mesmo reconhecendo a primariedade e ausência de antecedentes, entendeu o magistrado, para fixar aos réus a pena-base acima do mínimo que “</w:t>
      </w:r>
      <w:r>
        <w:rPr>
          <w:rFonts w:cs="Tahoma" w:ascii="Tahoma" w:hAnsi="Tahoma"/>
          <w:b/>
          <w:kern w:val="2"/>
        </w:rPr>
        <w:t>não há prova no processo de situações laborativas normais”, “têm personalidades desajustadas e as consequencias do crime deixam a vítima traumatizada</w:t>
      </w:r>
      <w:r>
        <w:rPr>
          <w:rFonts w:cs="Tahoma" w:ascii="Tahoma" w:hAnsi="Tahoma"/>
          <w:kern w:val="2"/>
        </w:rPr>
        <w:t>”.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Para negar ao paciente o direito de apelar em liberdade </w:t>
      </w:r>
      <w:r>
        <w:rPr>
          <w:rFonts w:cs="Tahoma" w:ascii="Tahoma" w:hAnsi="Tahoma"/>
          <w:b/>
          <w:kern w:val="2"/>
        </w:rPr>
        <w:t>não ofereceu o preclaro julgador qualquer motivação</w:t>
      </w:r>
      <w:r>
        <w:rPr>
          <w:rFonts w:cs="Tahoma" w:ascii="Tahoma" w:hAnsi="Tahoma"/>
          <w:kern w:val="2"/>
        </w:rPr>
        <w:t>, apesar da exigência constitucional, supondo-se, pela exposição para aplicação da pena, que tal se deu pelas mesmas circunstâncias lá invocadas.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  <w:t>Com isso deu-se peso de maus antecedentes a circunstâncias judiciais, que por sua natureza implicam em que o juiz exerça um poder discricionário na sua análise.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Porém os antecedentes devem ser examinados tendo em consideração a FAC _ e a do paciente não registra nenhum, e circunstâncias outras que sejam provadas nos autos sendo certo, contudo, que ao réu não cabe a prova negativa, mas sim à acusação a demonstração de que há maus antecedentes.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Ora, a só prática de delito já denota por si que o agente desajustou-se das normas sociais de conduta, nada havendo nos autos de especial quanto à personalidade do apelante.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A sanção para tal conduta é prevista em escala no dispositivo penal, não podendo o apelante ser duplamente apenado, uma porque cometeu o fato típico, com isso desajustando-se da norma social de conduta, a norma de proibição, e outra porque com isso revela “personalidade desajustada”, pois de tal decorre um bis in idem.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Seria preciso algo de especial na sua personalidade que o diferenciasse dos demais que ordinariamente cometem o delito de roubo, e tal não foi demonstrado.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Quanto à circunstância de não haver prova de “situação laborativa normal”, data venia é público e notório que a maior parte da população de baixa renda sobrevive de ocupação na economia informal e pequenos biscates, dado o alto índice de desemprego no país, de cerca de 15% como noticiam os jornais, não sendo demérito a circunstância de não se possuir um emprego regular.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Ainda, no que pertine à consideração de que “as consequências do crime deixam a vítima traumatizada”, inexistem nos autos quaisquer elementos de prova de que a vítima tenha sofrido algum especial trauma psicológico em decorrência do roubo, que não aquele natural a qualquer pessoa comum que passe por tal situação.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Ressalte-se, mais, que o artigo 50004 do CPP deve ser interpretado à luz do inciso LVII do art. 5º da Constituição da República, gerantidor de que “ninguém será considerado culpado até o trânsito em julgado da sentença penal condenatória”.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Assim, antes do trânsito em julgado somente a título de cautela poderá ser admitida a prisão, e, se o fumus boni juris decorre da própria condenação, o periculum in mora não pode singelamente advir do entendimento do juíz sentenciante de que, apesar da primariedade e bons antecedentes, seriam desfavoráveis as situações de ausência de emprego regular, “personalidade desajustada” e trauma psicológico da vítima, pois tais circunstâncias são de natureza </w:t>
      </w:r>
      <w:r>
        <w:rPr>
          <w:rFonts w:cs="Tahoma" w:ascii="Tahoma" w:hAnsi="Tahoma"/>
          <w:b/>
          <w:kern w:val="2"/>
        </w:rPr>
        <w:t>penal</w:t>
      </w:r>
      <w:r>
        <w:rPr>
          <w:rFonts w:cs="Tahoma" w:ascii="Tahoma" w:hAnsi="Tahoma"/>
          <w:kern w:val="2"/>
        </w:rPr>
        <w:t xml:space="preserve">, e, como tais, servem apenas para a aplicação de pena, sendo </w:t>
      </w:r>
      <w:r>
        <w:rPr>
          <w:rFonts w:cs="Tahoma" w:ascii="Tahoma" w:hAnsi="Tahoma"/>
          <w:b/>
          <w:kern w:val="2"/>
        </w:rPr>
        <w:t>inidôneas, por si só, para instruir uma prisão de cunho ainda processual</w:t>
      </w:r>
      <w:r>
        <w:rPr>
          <w:rFonts w:cs="Tahoma" w:ascii="Tahoma" w:hAnsi="Tahoma"/>
          <w:kern w:val="2"/>
        </w:rPr>
        <w:t>, eis que ainda não trânsita em julgado a sentença.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b/>
          <w:b/>
          <w:kern w:val="2"/>
        </w:rPr>
      </w:pPr>
      <w:r>
        <w:rPr>
          <w:rFonts w:cs="Tahoma" w:ascii="Tahoma" w:hAnsi="Tahoma"/>
          <w:b/>
          <w:kern w:val="2"/>
        </w:rPr>
        <w:t>O periculum in mora deve ser efetivamente demonstrado e tal não ocorreu.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Atente-se, last but not least, que o princípio constitucional da ampla defesa impõe que o direito ao duplo grau de jurisdição seja descondicionado dessa prisão em virtude de sentença penal não transitada em julgado.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Mesmo admitindo-se a sobrevivência do artigo 50004 do CPP em seu termos, frente à garantia constitucional da presunção da não-culpa, é forçoso concluir, face ao imbatível princípio da ampla defesa, que esta prisão nada tem a ver com o reexame da sentença pelo segundo grau.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Se ocorrente a hipótese legal de prisão por sentença ainda não transitada em julgado, que expeça-se mandado de prisão.</w:t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pBdr>
          <w:left w:val="single" w:sz="6" w:space="5" w:color="000000"/>
          <w:right w:val="single" w:sz="6" w:space="5" w:color="000000"/>
        </w:pBdr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Porém não se pode negar ao sentenciado o direito ao segundo grau de jurisdição, ao duplo grau de jurisdição, enfim à revisão processual, sob pena de ser-lhe negada a ampla defesa garantida constitucionalmente, e quiçá compactuar com eventual erro judiciário, já que nem todas as hipóteses caberão na via estreita do  habeas corpus.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Diante do exposto, por estar demonstrado quantum satis o constrangimento ilegal que sofre o paciente, à   vista  das  peças que acompanham  a  presente,   requer  a  concessão    </w:t>
      </w:r>
      <w:r>
        <w:rPr>
          <w:rFonts w:cs="Tahoma" w:ascii="Tahoma" w:hAnsi="Tahoma"/>
          <w:b/>
          <w:kern w:val="2"/>
        </w:rPr>
        <w:t>LIMINAR</w:t>
      </w:r>
      <w:r>
        <w:rPr>
          <w:rFonts w:cs="Tahoma" w:ascii="Tahoma" w:hAnsi="Tahoma"/>
          <w:kern w:val="2"/>
        </w:rPr>
        <w:t xml:space="preserve">   da ordem, como permite o § 2º do art.660 do CPP, concedendo-se, de toda sorte, a ordem da habeas corpus pleiteada, para reconhecer o direito do paciente de apelar em liberdade.</w:t>
      </w:r>
    </w:p>
    <w:p>
      <w:pPr>
        <w:pStyle w:val="Normal"/>
        <w:widowControl w:val="false"/>
        <w:overflowPunct w:val="true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widowControl w:val="false"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 w:val="false"/>
        <w:overflowPunct w:val="true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ff13b6"/>
    <w:pPr>
      <w:widowControl w:val="false"/>
      <w:overflowPunct w:val="true"/>
      <w:ind w:firstLine="1985"/>
      <w:jc w:val="center"/>
      <w:outlineLvl w:val="0"/>
    </w:pPr>
    <w:rPr>
      <w:b/>
      <w:kern w:val="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0d7bda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d7bda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Angela2" w:customStyle="1">
    <w:name w:val="Angela 2"/>
    <w:basedOn w:val="Normal"/>
    <w:qFormat/>
    <w:rsid w:val="00ff13b6"/>
    <w:pPr>
      <w:widowControl w:val="false"/>
      <w:overflowPunct w:val="true"/>
      <w:ind w:left="1134" w:firstLine="3119"/>
      <w:jc w:val="both"/>
    </w:pPr>
    <w:rPr>
      <w:kern w:val="2"/>
      <w:sz w:val="26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5f133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5f133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d7bda"/>
    <w:pPr>
      <w:spacing w:beforeAutospacing="1" w:afterAutospacing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d7bd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1278</Words>
  <Characters>6620</Characters>
  <CharactersWithSpaces>7867</CharactersWithSpaces>
  <Paragraphs>48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2019-10-09T17:37:00Z</dcterms:created>
  <dc:creator>Cliente</dc:creator>
  <dc:description/>
  <dc:language>pt-BR</dc:language>
  <cp:lastModifiedBy/>
  <dcterms:modified xsi:type="dcterms:W3CDTF">2020-04-15T18:58:30Z</dcterms:modified>
  <cp:revision>4</cp:revision>
  <dc:subject/>
  <dc:title>EXMº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