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ahoma" w:hAnsi="Tahoma" w:cs="Tahoma"/>
          <w:b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  <w:t>EXMO.SR. DESEMBARGADOR PRESIDENTE DO TRIBUNAL DE JUSTIÇA DO ESTADO TAL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 Defensora , vem junto á Vara de Execuções Penais deste Estado, com fundamento no art.5 inciso LXVIII da constituição federal c/c art 647 do código de processo penal em vigor , vem impetrar a presente ordem de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HABEAS CORPUS COM PEDIDO LIMINAR</w:t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 xml:space="preserve">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</w:rPr>
        <w:t>, pelos fatos e fundamentos que passa  a aduzir.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1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Ttulo1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DA SITUAÇÃO JURÍDICA</w:t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paciente responde no juízo de execuções ao cumprimento do total de 00 anos e 00 meses de reclusão, pela prática do ilícito penal esculpido no art. 157 parágrafo 2 incisos I, II e V do CP.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Já cumpriu 00 anos, 00 meses e 00 dias, merece  salientar, no entanto que em DIA/MÊS/ANO, veio aos autos a informação do patronado do seu não comparecimento a partir de DIA/MÊS/ANO.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Em vista da referida informação , o ministério público requereu ao juízo a revogação do livramento condicional ,sendo   o pleito acolhido , sem a sua oitava prévia do egresso , art. 143 da LEP , DETERMINANDO A EXPEDIÇAO DE MANDADO DE PRISAO!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Ttulo1"/>
        <w:rPr>
          <w:rFonts w:ascii="Tahoma" w:hAnsi="Tahoma" w:cs="Tahoma"/>
          <w:bCs w:val="false"/>
          <w:sz w:val="24"/>
        </w:rPr>
      </w:pPr>
      <w:r>
        <w:rPr>
          <w:rFonts w:cs="Tahoma" w:ascii="Tahoma" w:hAnsi="Tahoma"/>
          <w:bCs w:val="false"/>
          <w:sz w:val="24"/>
        </w:rPr>
      </w:r>
    </w:p>
    <w:p>
      <w:pPr>
        <w:pStyle w:val="Ttulo1"/>
        <w:rPr>
          <w:rFonts w:ascii="Tahoma" w:hAnsi="Tahoma" w:cs="Tahoma"/>
          <w:bCs w:val="false"/>
          <w:sz w:val="24"/>
        </w:rPr>
      </w:pPr>
      <w:r>
        <w:rPr>
          <w:rFonts w:cs="Tahoma" w:ascii="Tahoma" w:hAnsi="Tahoma"/>
          <w:bCs w:val="false"/>
          <w:sz w:val="24"/>
        </w:rPr>
        <w:t>DA NULIDADE DA DECISÃO FUNDAMENTO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Permite-se a defesa , em socorro ao paciente transcrever a decisão prolatada pelo juízo “a quo”.</w:t>
      </w:r>
    </w:p>
    <w:p>
      <w:pPr>
        <w:pStyle w:val="Corpodotexto"/>
        <w:ind w:left="378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IntenseQuote"/>
        <w:rPr/>
      </w:pPr>
      <w:r>
        <w:rPr/>
        <w:t>“</w:t>
      </w:r>
      <w:r>
        <w:rPr/>
        <w:t>A intimação como ato de comunicação para fins de revogação de beneficio comente se torna imprescindível na hipótese em que o apenado pratica novo delito no curso do período de prova, encontrando-se preso cautelarmente por este novo delito o que possibilita a sua intimação”.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Dignos julgadores, a prevalecer à decisão supra chegaremos ao absurdo de dar tratamento mais brando ao egresso que pratica crime durante o período de prova, possibilitando –lhe a JUSTIFICATIVA.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DA GARANTIA DO CONTRADITÓRIO E DA AMPLA DEFESA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Como é cediço a justiça penal não se esgota com o trânsito em julgado da sentença condenatória, o processo de execução de muito jurisdicionalizou-se . O apenado deixou de ser mero objeto na execução, para ser parte, sujeito de direitos.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Não se pode admitir execução da pena sem o devido processo legal, no qual se permita ao apenado a defesa de seus direitos, devendo a oportunidade de defesa ser sempre ampla! Inteligência do art. 2 da LEP em harmonia com o art. 5LIV, CF/88.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Neste sentido, vale trazer á colação  a ementa proferida em julgamento de HC,RSTJ65/122: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IntenseQuote"/>
        <w:rPr/>
      </w:pPr>
      <w:r>
        <w:rPr/>
        <w:t xml:space="preserve">“ </w:t>
      </w:r>
      <w:r>
        <w:rPr/>
        <w:t>HC- EXECUÇAO        Penal-jurisdicionalização- livramento condicional – suspensão-revogação –A LEP. Consagrou a jurisdicionalização da pena . O condenado deixou de ser objeto e passou a sujeito da execução . Assim, o contraditório(const. Art.5, LV)  não pode ser olvidado. Compreende tanto o processo judicial, como o administrativo. A suspensão do livramento condicional antecede a sentença condenatória transitada em julgado. A revogação contudo , depende de sentença firme. Em qualquer caso, porém , impõe-se o direito de defesa.”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INOBSERVÂNCIA DO ART.143 DA LEP</w:t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A revogação do livramento condicional seja obrigatória ou facultativa deverá sempre ser </w:t>
      </w:r>
      <w:r>
        <w:rPr>
          <w:rFonts w:cs="Tahoma" w:ascii="Tahoma" w:hAnsi="Tahoma"/>
          <w:b/>
          <w:sz w:val="24"/>
        </w:rPr>
        <w:t>precedida</w:t>
      </w:r>
      <w:r>
        <w:rPr>
          <w:rFonts w:cs="Tahoma" w:ascii="Tahoma" w:hAnsi="Tahoma"/>
          <w:sz w:val="24"/>
        </w:rPr>
        <w:t xml:space="preserve"> da oitiva do egresso. Não está na esfera discricionária do juízo E DETERMINAÇÃO LEGAL! Sob pena de nulidade da decisão, por dispositivo constitucional!</w:t>
      </w:r>
    </w:p>
    <w:p>
      <w:pPr>
        <w:pStyle w:val="Corpodotexto"/>
        <w:ind w:left="234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ind w:left="234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IntenseQuote"/>
        <w:rPr/>
      </w:pPr>
      <w:r>
        <w:rPr/>
        <w:t>“</w:t>
      </w:r>
      <w:r>
        <w:rPr/>
        <w:t>A revogação será decretada a requerimento do ministério público, mediante representação do conselho penitenciário, ou de ofício, pelo juiz, ouvido o liberado” grifo nosso art.143 da LEP, usando a expressão “ouvirá o liberado, ao invés de “poderá ouvir o liberado” de molde  a tornar imperativa a obrigatoriedade de prévia manifestação de beneficiário antes de revogado o livramento condicional.”(RT7000/28000-TJSP)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(...)</w:t>
      </w:r>
    </w:p>
    <w:p>
      <w:pPr>
        <w:pStyle w:val="IntenseQuote"/>
        <w:rPr/>
      </w:pPr>
      <w:r>
        <w:rPr/>
        <w:t>“</w:t>
      </w:r>
      <w:r>
        <w:rPr/>
        <w:t>De acordo com o disposto no art.143 da lei 7210/87, o livramento condicional somente poderá ser revogado por quebra de condição imposta ao gozo do beneficiário, após prévia audiência do liberado, fazer prova destinada a justificar a eventual transgressão comedita”.(RT60000/352)</w:t>
      </w:r>
    </w:p>
    <w:p>
      <w:pPr>
        <w:pStyle w:val="Corpodotexto"/>
        <w:ind w:left="162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ind w:left="162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Ínclitos julgadores, farta é a jurisprudência sobre a matéria. Na hipótese dos autos, a autoridade coatora, revogou o livramento condicional e sequer ouviu previamente a defesa técnica, sendo, portanto nula a sua decisão.</w:t>
      </w:r>
    </w:p>
    <w:p>
      <w:pPr>
        <w:pStyle w:val="Corpodotexto"/>
        <w:ind w:left="1620" w:hanging="0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Diante  do exposto, restou clara violação ao devido processo legal e ao contraditório , bem como o texto expresso da lei, art. 143 da LEP . Decisão, ora atacada é nula.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DO PEDIDO LIMINAR</w:t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 xml:space="preserve">A evidência demonstra a presença do fumus boni juris consubstanciado na violação a dispositivo expresso de lei (art.143 da LEP) e a  dispositivo constitucional ( art.5.LV) recaindo diretamente sobre  a garantia da ampla defesa , causando apo paciente constrangimento ilegal , </w:t>
      </w:r>
      <w:r>
        <w:rPr>
          <w:rFonts w:cs="Tahoma" w:ascii="Tahoma" w:hAnsi="Tahoma"/>
          <w:b/>
          <w:sz w:val="24"/>
        </w:rPr>
        <w:t>materializado na determinação da expedição de mandato de prisão –</w:t>
      </w:r>
      <w:r>
        <w:rPr>
          <w:rFonts w:cs="Tahoma" w:ascii="Tahoma" w:hAnsi="Tahoma"/>
          <w:sz w:val="24"/>
        </w:rPr>
        <w:t xml:space="preserve"> periculum in mora somente sanável com o acolhimento do presente WRIT, tendo em vista que o recurso cabível não comporta efeito suspensivo.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  <w:t>DO PEDIDO FINAL</w:t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Diante do exposto, e confiando a defesa no senso de justiça que sempre norteou as decisões desde egrégio tribunal , aguardar-se: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A – o deferimento “in limine”do recolhimento do mandado de prisão , até  o julgamento do mérito do presente WRIT;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B – o acolhimento da tese de defesa, restaurando o livramento condicional, que foi revogado e determinando ao juízo a intimação do paciente para que apresente justificativa, art. 143 da LEP;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C – a manutenção da liminar até decisão final deste WRIT.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  <w:bookmarkStart w:id="4" w:name="_GoBack"/>
      <w:bookmarkStart w:id="5" w:name="_GoBack"/>
      <w:bookmarkEnd w:id="5"/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b/>
          <w:b/>
          <w:sz w:val="24"/>
        </w:rPr>
      </w:pPr>
      <w:r>
        <w:rPr>
          <w:rFonts w:cs="Tahoma" w:ascii="Tahoma" w:hAnsi="Tahoma"/>
          <w:b/>
          <w:sz w:val="24"/>
        </w:rPr>
      </w:r>
    </w:p>
    <w:p>
      <w:pPr>
        <w:pStyle w:val="Corpodotexto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ec5fb5"/>
    <w:rPr>
      <w:sz w:val="24"/>
      <w:szCs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c5fb5"/>
    <w:rPr>
      <w:rFonts w:ascii="Tahoma" w:hAnsi="Tahoma"/>
      <w:b/>
      <w:iCs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rFonts w:ascii="Verdana" w:hAnsi="Verdana"/>
      <w:sz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9c16a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9c16a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ec5fb5"/>
    <w:pPr>
      <w:spacing w:beforeAutospacing="1" w:afterAutospacing="1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c5fb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8</Pages>
  <Words>1027</Words>
  <Characters>5400</Characters>
  <CharactersWithSpaces>6403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2019-10-09T19:32:00Z</dcterms:created>
  <dc:creator>Gustavo</dc:creator>
  <dc:description/>
  <dc:language>pt-BR</dc:language>
  <cp:lastModifiedBy/>
  <cp:lastPrinted>2003-10-15T20:37:00Z</cp:lastPrinted>
  <dcterms:modified xsi:type="dcterms:W3CDTF">2020-04-15T18:52:41Z</dcterms:modified>
  <cp:revision>7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