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AO DOUTO JUÍZO DE DIREITO DA 00ª VARA CRIMINAL DA COMARCA DE CIDADE/UF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  <w:color w:val="000000"/>
        </w:rPr>
        <w:t xml:space="preserve">, vem, respeitosamente, à presença de V. Exa., impetrar uma ORDEM DE HABEAS CORPUS 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color w:val="000000"/>
        </w:rPr>
        <w:t>, pelos motivos que passa a expor: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 paciente foi detido no DIA/MÊS/ANO às 00 horas, nas imediações do FULANO, sob a acusação de estar promovendo "jogo de tampinha", sendo por isso recolhido ao Presídio e onde se encontra há mais de 00 dias, à disposição do 00º Distrito Policial, local, sem justificativa legal.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É ilegal sua prisão uma vez que não houve prisão em flagrante, não havendo contra o paciente nem prisão preventiva decretada e nem condenação anterior.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Ora, se foi ele detido para averiguações, deveria ter sido posto em liberdade há muito tempo e, não permanecer no cárcere contaminoso e nocivo por tanto tempo. Condenável, sob todos os aspectos a conduta da autoridade policial. Se houvesse, realmente, alguma coisa contra o paciente, deveria a autoridade policial tomar as medidas que a lei lhe confere, fornecendo ao mesmo, a necessária Nota de Culpa. Nada disso foi feito e continua ele encarcerado injustamente.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Nestes Termos, espera o requerente seja CONCEDIDA A ORDEM DE "HABEAS CORPUS", em favor do paciente, com a expedição do ALVARÁ DE SOLTURA, a fim de que seja ele IMEDIATAMENTE POSTO EM LIBERDADE.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4" w:name="_Hlk19878861"/>
      <w:bookmarkEnd w:id="4"/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7540d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7540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540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540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87540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449</Words>
  <Characters>2271</Characters>
  <CharactersWithSpaces>2699</CharactersWithSpaces>
  <Paragraphs>22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2019-10-07T18:19:00Z</dcterms:created>
  <dc:creator>Arnaldo</dc:creator>
  <dc:description/>
  <dc:language>pt-BR</dc:language>
  <cp:lastModifiedBy/>
  <dcterms:modified xsi:type="dcterms:W3CDTF">2020-04-15T19:07:24Z</dcterms:modified>
  <cp:revision>4</cp:revision>
  <dc:subject/>
  <dc:title>HABEAS CORPUS - CONTRAVENÇÃO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