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DA COMARCA DE CIDADE/UF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O advogado que esta subscreve, </w:t>
      </w: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r>
        <w:rPr>
          <w:rFonts w:cs="Tahoma" w:ascii="Tahoma" w:hAnsi="Tahoma"/>
        </w:rPr>
        <w:t xml:space="preserve">, vem, com o devido acato, impetrar perante esse  EGRÉGIO TRIBUNAL, a presente ordem de HABEAS CORPUS, em favor do Paciente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diante do evidente e manifesto CONSTRANGIMENTO ILEGAL que está sofrendo por parte do honrado e digno JUIZ DE DIREITO DA 00ª VARA CRIMINAL DA COMARCA DE CIDADE/UF, conforme passa a aduzir: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Paciente, está sendo processado perante a 00ª Vara Criminal de CIDADE/UF, Proc. 000000,  por suposta infração ao disposto no "caput" do artigo 168 do Código Penal, por entender a ilustre Promotoria de Justiça, ter o mesmo apropriado-se, ilicitamente, de objetos que lhe foi entregue pela empresa TAL, com base em CONTRATO DE COMODATO (doc. 00), tendo a digna Autoridade Coatora recebido a Denúncia.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Acontece que, o Paciente, na qualidade de gerente da empresa TAL (doc.00), firmou um CONTRATO DE COMODATO com a empresa TAL, tendo por objetivo o empréstimo de TAL, para o fim TAL.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Pelas cláusulas 00ª e 00ª do mencionado contrato, ficou estabelecido que CASO NÃO FOSSEM DEVOLVIDOS OS OBJETOS, NO PRAZO DE 180 DIAS, SERIAM ELES FATURADOS AO PREÇO E CONDIÇÕES DO DIA, CABENDO À VIA EXECUTIVA PARA A COBRANÇA DO PREÇO ESTIPULADO PARA TAL EM  CASO DE AVARIAS, PERDAS OU EXTRAVIOS, A COMODATÁRIA RESSARCIRÁ INTEGRALMENTE A COMODANTE PELO VALOR TOTAL, NA OCASIÃO EM QUE SE CONSTATAR A PERDA OU DANOS.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Isso deveria ocorrer após 180 dias da data de DIA/MÊS/ANO, ocasião em que foi convencionado o mencionado contrato.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Pela cláusula 00ª, do contrato em testilha, tinha  a Comodatária ciência de que os objetos dados em comodato, eram manipulados, também, por terceiros.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Como observado, o contrato previa MEIOS CÍVEIS PRÓPRIOS E ESPECÍFICOS para impor à Comodante o ressarcimento dos eventuais prejuízos sofridos pela Comodatária.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Mesmo diante da expressa previsão contratual, preferiu a Comodatária adentrar no campo penal, com o intuito de pressionar o paciente a solucionar o problema, já que o processo penal é por todos receado.( docs.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À luz do expendido, está devidamente comprovada a INEXISTÊNCIA DE JUSTA CAUSA para o procedimento penal, uma vez que a espécie trata de matéria dirimível no âmbito civil.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Desse forma, espera o Impetrante haja por bem esse Egrégio Tribunal decretar o TRANCAMENTO DO PROCESSO CRIMINAL, movido contra o Paciente FULANO DE TAL, como é de Direito e de Justiça.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Assim atuando, estará esse Egrégio Tribunal prestando ao Direito e à Justiça, o seu mais lídimo tributo.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6a09ab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0a722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0a722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a09a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642</Words>
  <Characters>3289</Characters>
  <CharactersWithSpaces>3907</CharactersWithSpaces>
  <Paragraphs>28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2019-10-04T18:01:00Z</dcterms:created>
  <dc:creator>Marilia</dc:creator>
  <dc:description/>
  <dc:language>pt-BR</dc:language>
  <cp:lastModifiedBy/>
  <dcterms:modified xsi:type="dcterms:W3CDTF">2020-04-15T19:03:54Z</dcterms:modified>
  <cp:revision>4</cp:revision>
  <dc:subject/>
  <dc:title>EXCELENTÍSSIMO SENHOR DOUTOR JUIZ PRESIDENTE DO TRIBUNAL DE ALÇADA CRIMINAL DE 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