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TRIBUNAL REGIONAL FEDERAL DA 00ª REGIÃO – 00ª TURMA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Ttulo2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</w:r>
    </w:p>
    <w:p>
      <w:pPr>
        <w:pStyle w:val="Ttulo2"/>
        <w:jc w:val="left"/>
        <w:rPr>
          <w:rFonts w:ascii="Tahoma" w:hAnsi="Tahoma" w:cs="Tahoma"/>
          <w:sz w:val="24"/>
          <w:szCs w:val="24"/>
          <w:u w:val="none"/>
        </w:rPr>
      </w:pPr>
      <w:r>
        <w:rPr>
          <w:rFonts w:cs="Tahoma" w:ascii="Tahoma" w:hAnsi="Tahoma"/>
          <w:sz w:val="24"/>
          <w:szCs w:val="24"/>
          <w:u w:val="none"/>
        </w:rPr>
        <w:t>HABEAS CORPUS Nº 0000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IMPETRANTE: NOME DO IMPETRANTE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IMPETRADO:</w:t>
        <w:tab/>
      </w:r>
      <w:r>
        <w:rPr>
          <w:rFonts w:cs="Tahoma" w:ascii="Tahoma" w:hAnsi="Tahoma"/>
          <w:b/>
          <w:szCs w:val="24"/>
        </w:rPr>
        <w:t>JUÍZO FEDERAL DA 00ª VARA FEDERAL CRIMINAL DO ESTADO TAL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PACIENTE: NOME DO PACIENTE – RÉU PRESO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RELATOR:</w:t>
        <w:tab/>
      </w:r>
      <w:r>
        <w:rPr>
          <w:rFonts w:cs="Tahoma" w:ascii="Tahoma" w:hAnsi="Tahoma"/>
          <w:b/>
          <w:szCs w:val="24"/>
        </w:rPr>
        <w:t>DES. FEDERAL FULANA DE TAL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Egrégia Turma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O advogado impetrou habeas corpus em favor de contra ato do </w:t>
      </w:r>
      <w:r>
        <w:rPr>
          <w:rFonts w:cs="Tahoma" w:ascii="Tahoma" w:hAnsi="Tahoma"/>
          <w:b/>
          <w:szCs w:val="24"/>
        </w:rPr>
        <w:t xml:space="preserve">JUÍZO FEDERAL DA 00ª VARA FEDERAL CRIMINAL DO RIO DE JANEIRO </w:t>
      </w:r>
      <w:r>
        <w:rPr>
          <w:rFonts w:cs="Tahoma" w:ascii="Tahoma" w:hAnsi="Tahoma"/>
          <w:szCs w:val="24"/>
        </w:rPr>
        <w:t>pelas razões que seguem: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DIA/MÊS/ANO, a Polícia Federal deteve, que pretendia embarcar em vôo para os EUA apresentando passaporte falso.  No documento, constava o nome de e informação de que se tratava de menor de idade, motivo pelo qual também havia uma autorização “assinada pelos pais” para viajar desacompanhado.</w:t>
      </w:r>
    </w:p>
    <w:p>
      <w:pPr>
        <w:pStyle w:val="Corpodotexto"/>
        <w:ind w:left="2268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Conduzido à sala da PF no Aeroporto, , declinando seu verdadeiro nome e idade, responsabilizou o paciente deste writ  pela elaboração do passaporte e da autorização, mediante o pagamento de US$ 0000 (VALOR POR EXTENSO).</w:t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Ato contínuo, a Polícia Federal conduziu</w:t>
      </w:r>
      <w:r>
        <w:rPr>
          <w:rFonts w:cs="Tahoma" w:ascii="Tahoma" w:hAnsi="Tahoma"/>
          <w:b/>
          <w:szCs w:val="24"/>
        </w:rPr>
        <w:t xml:space="preserve">, </w:t>
      </w:r>
      <w:r>
        <w:rPr>
          <w:rFonts w:cs="Tahoma" w:ascii="Tahoma" w:hAnsi="Tahoma"/>
          <w:szCs w:val="24"/>
        </w:rPr>
        <w:t xml:space="preserve">que se encontrava nas dependências do aeroporto, em companhia do agente de viagens que vendera a passagem a, à Delegacia de Polícia Marítima para lavrar o </w:t>
      </w:r>
      <w:r>
        <w:rPr>
          <w:rFonts w:cs="Tahoma" w:ascii="Tahoma" w:hAnsi="Tahoma"/>
          <w:b/>
          <w:szCs w:val="24"/>
        </w:rPr>
        <w:t>auto de</w:t>
      </w:r>
      <w:r>
        <w:rPr>
          <w:rFonts w:cs="Tahoma" w:ascii="Tahoma" w:hAnsi="Tahoma"/>
          <w:szCs w:val="24"/>
        </w:rPr>
        <w:t xml:space="preserve"> </w:t>
      </w:r>
      <w:r>
        <w:rPr>
          <w:rFonts w:cs="Tahoma" w:ascii="Tahoma" w:hAnsi="Tahoma"/>
          <w:b/>
          <w:szCs w:val="24"/>
        </w:rPr>
        <w:t>prisão em flagrante</w:t>
      </w:r>
      <w:r>
        <w:rPr>
          <w:rFonts w:cs="Tahoma" w:ascii="Tahoma" w:hAnsi="Tahoma"/>
          <w:szCs w:val="24"/>
        </w:rPr>
        <w:t xml:space="preserve"> </w:t>
      </w:r>
      <w:r>
        <w:rPr>
          <w:rFonts w:cs="Tahoma" w:ascii="Tahoma" w:hAnsi="Tahoma"/>
          <w:b/>
          <w:szCs w:val="24"/>
        </w:rPr>
        <w:t>de fls. 00/00.</w:t>
      </w:r>
    </w:p>
    <w:p>
      <w:pPr>
        <w:pStyle w:val="Corpodotexto"/>
        <w:ind w:left="2268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No auto, atribuiu-se a BELTRANO a conduta prevista no art. 304, CP (uso de documento falso) e a FULANO, a do art. 20007, CP (falsificação de documento público), encaminhando-se ambos ao Presídio TAL.</w:t>
      </w:r>
    </w:p>
    <w:p>
      <w:pPr>
        <w:pStyle w:val="Corpodotexto"/>
        <w:ind w:left="2268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advogado de BELTRANO pediu o relaxamento da prisão (cf. fls. 00/00), a sustentar a ilegalidade do flagrante.  Alega que, no instante em que foi detido, o paciente não falsificava documento algum, nem portava consigo material destinado a esse fim, não se configurando, portanto, qualquer das situações previstas no art. 302 do Código de Processo Penal.</w:t>
      </w:r>
    </w:p>
    <w:p>
      <w:pPr>
        <w:pStyle w:val="Corpodotexto"/>
        <w:ind w:left="2268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Ministério Público opinou favoravelmente ao relaxamento (fls. 00/00).  O juiz concedeu liberdade provisória a, mas decretou a prisão preventiva de, em decisão, segundo alega o impetrante, não fundamentada (fls. 00/00).</w:t>
      </w:r>
    </w:p>
    <w:p>
      <w:pPr>
        <w:pStyle w:val="Corpodotexto"/>
        <w:ind w:left="2268" w:hanging="0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DIA/MÊS/ANO, o advogado pediu a revogação da prisão preventiva (fls. 00/00), que restou indeferida (fls. 00/00).</w:t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DIA/MÊS/ANO, o Ministério Público Federal ofereceu denúncia contra, como incurso nas penas dos arts. 20007 e 2000000, por força do art. 304, e contra, nas penas dos arts. 20007 (falsificação de documento público) e 2000000 (falsidade ideológica), na forma do art. 2000, em continuidade delitiva.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Por meio deste habeas corpus, o impetrante pretende a revogação da prisão preventiva, alegando, para isso, que “não há o menor risco de vir o paciente a causar qualquer transtorno à ordem pública ou comprometer, de qualquer modo, a dilação probatória” (fls. 00).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Às fls. 00, a relatora negou o pedido de liminar, em decisão assim fundamentada: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BodyTextIndent2"/>
        <w:ind w:left="2268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Os elementos dos autos, num superficial exame, não me convenceram da ilegalidade da prisão preventiva, em considerando, sobretudo, não haver o impetrante logrado comprovar a impertinência dos fundamentos da decisão de fls. 51/52: ‘... que JOÃO não cuidou de apresentar  qualquer elemento de corroboração da sua identidade, tampouco trouxe qualquer prova de que tem ocupação lícita regular, residência fixa, e de que não tem antecedentes criminais, donde vislumbro perigos para a instrução criminal e para a aplicação da lei penal colocá-lo em liberdade, assim, sem quaisquer garantias sobre a sua pessoa.’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Ademais, o pedido de Habeas Corpus não rebateu o argumento expendido na decisão de fls. 46, que decretou a prisão preventiva: ‘... o teor da confissão de JOÃO (fls. 05/06) demonstra o elevado grau de envolvimento que tem com a estrutura criminosa dedicada à falsificação de passaportes, que atenta contra a ordem pública. (...) donde vislumbro perigos para a instrução criminal e para a aplicação da lei penal colocá-lo em liberdade, assim, sem quaisquer garantias sobre a sua pessoa.’” (grifos no original)</w:t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o relatório.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decisão que decretou a prisão preventiva do paciente tem os seguintes fundamentos: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... o teor da confissão de JOÃO (fls. 05/06) demonstra o elevado grau de envolvimento que tem com a estrutura criminosa dedicada à falsificação de passaportes, que atenta contra a ordem pública.  Por outro lado, considerando que se trata de delito que envolve falsificação de “identidades”, é de se ver que JOÃO não cuidou de apresentar qualquer elemento de corroboração de sua identidade, tampouco trouxe qualquer prova de que tem ocupação lícita regular, residência fixa, e de que não tem antecedentes criminais, donde vislumbro perigos para a instrução criminal e para a aplicação da lei penal colocá-lo em liberdade, assim, sem quaisquer garantias sobre a sua pessoa.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Pelo exposto, com fulcro no art. 312 do CPP, DECRETO A PRISÃO PREVENTIVA de.(...)”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 teve mantido o decreto de sua custódia, nos termos da decisão de fls. 00: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“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Quanto ao pedido de revogação da prisão preventiva de, além de os documentos ora apresentados virem por cópias não autenticadas, observo que o endereço residencial declinado no momento de sua prisão (Córrego Boa Vista, Mantena, Minas Gerais – fl. 00 do Flagrante em apenso) difere do endereço consignado na procuração outorgada ao seu Advogado (Rua Manoel Furtado nº 43, Vila Nova, Mantena, Minas Gerais – fl. 00 do Flagrante em apenso) e difere, também, do endereço constante das contas de gás e de água e esgoto (Rua Barão de Mauá, nº 000000, Central de Minas), ora apresentadas na petição que pede a revogação da prisão preventiva.  Portanto, considero que os argumentos e documentos ora apresentados por seu patrono não elidem as razões que ensejaram a decretação de sua custódia cautelar ...”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decretação da prisão preventiva está condicionada à ocorrência de pelo menos uma das circunstâncias previstas no art. 312 do Código de Processo Penal:  garantia da ordem pública, da ordem econômica, conveniência da instrução criminal e necessidade de assegurar a aplicação da lei penal.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Diante do que dispõe o art. 316 do CPP, a revogação da medida somente ocorrerá se, no curso do processo, o juiz “verificar a falta de motivo para que subsista”, sendo certo que inexiste qualquer dispositivo legal que estabeleça o período de tempo durante o qual o indiciado ou o acusado deva ou possa permanecer preso.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 presença desses motivos autorizadores da decretação da prisão preventiva impede a concessão de fiança (art. 324, IV, CPP) e autorizam a custódia preventiva ainda que o acusado tenha bons antecedentes e residência fixa.  Confira-se: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RECURSO DE HABEAS CORPUS. PRESTAÇÃO DE FIANÇA. LIBERDADE PROVISÓRIA.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1.</w:t>
        <w:tab/>
        <w:t>Presentes os motivos que autorizam a prisão preventiva, não se há de conceder fiança (artigo 324, inciso IV do Código de Processo Penal).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2.</w:t>
        <w:tab/>
        <w:t>Também não é caso de liberdade provisória, independentemente de fiança (art. 321 e incisos do CPP).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3.</w:t>
        <w:tab/>
        <w:t>Recurso improvido.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(STJ, 6ª Turma, RHC nº 0002.0000000531/RJ, Rel. Min. José Cândido de Carvalho Filho, DJ, 01.06.0002, p. 8060)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RECURSO DE HABEAS CORPUS. PRISÃO PREVENTIVA DEVIDAMENTE FUNDAMENTADA. RECURSO IMPROVIDO.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1.</w:t>
        <w:tab/>
        <w:t>Primariedade, bons antecedentes, profissão e residência fixa, não são elementos impeditivos da decretação da prisão preventiva, quando os fatos justifiquem sua necessidade.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2.</w:t>
        <w:tab/>
        <w:t>Recurso a que se nega provimento.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16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16"/>
        </w:rPr>
        <w:t>(STJ, 5ª Turma, ROHC nº 0004.0003408/RS, Rel. Min. Cid Flaquer Scartezzini, DJ, 21.03.0004, pág. 540005)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 efetiva ocorrência desses requisitos, na espécie, é o que se pretenderá demonstrar.</w:t>
      </w:r>
    </w:p>
    <w:p>
      <w:pPr>
        <w:pStyle w:val="Corpodotextorecuado"/>
        <w:ind w:left="0" w:hanging="0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Corpodotexto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paciente, em seu depoimento (fls. 00), afirma não ser falsificador, restringindo-se sua conduta à intermediação entre pessoas que pretendem viajar para os EUA e sendo o Sr. FULANO DE TAL, este sim responsável pelos documentos falsos.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Ora, um mero intermediador teria como única função apresentar os interessados ao falsário.  </w:t>
      </w:r>
      <w:r>
        <w:rPr>
          <w:rFonts w:cs="Tahoma" w:ascii="Tahoma" w:hAnsi="Tahoma"/>
          <w:b/>
          <w:szCs w:val="24"/>
        </w:rPr>
        <w:t xml:space="preserve">O fato de o paciente, Vereador pelo município de Central de Minas – MG (fls. 00), encontrar-se no aeroporto, dando cobertura ao embarque de BELTRANO, e na companhia de um agente de viagens, FULANO, evidencia que sua participação na operação criminosa é mais relevante do que a alegada. </w:t>
      </w:r>
      <w:r>
        <w:rPr>
          <w:rFonts w:cs="Tahoma" w:ascii="Tahoma" w:hAnsi="Tahoma"/>
          <w:szCs w:val="24"/>
        </w:rPr>
        <w:t xml:space="preserve"> Qual a garantia para a ordem pública de que este indivíduo não tornará a delinqüir?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szCs w:val="24"/>
        </w:rPr>
        <w:t>Às fls. 00, consta que o paciente, ao longo da última década,  já desacatou um delegado, difamou alguém e chegou a ser condenado pelo crime do art. 12000, caput (lesão corporal dolosa leve)</w:t>
      </w:r>
      <w:r>
        <w:rPr>
          <w:rFonts w:cs="Tahoma" w:ascii="Tahoma" w:hAnsi="Tahoma"/>
          <w:szCs w:val="24"/>
        </w:rPr>
        <w:t>.  São elementos que, isoladamente, não autorizariam, em princípio, a presunção de periculosidade de SICRANO, mas, em conjunto com a conduta ora apurada, reforçam os motivos para acreditar que sua liberdade põe em risco a ordem pública.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 xml:space="preserve">Além dessa razão, que por si só fica a recomendar a manutenção da custódia preventiva, há, ainda, na espécie, a necessidade de fazer segura a eficácia de uma eventual sentença condenatória e o regular desenvolvimento da instrução criminal que a precederá.  É, portanto, de todo conveniente  que o paciente fique radicado no Estado onde a causa está sendo processada, principalmente tendo em vista a </w:t>
      </w:r>
      <w:r>
        <w:rPr>
          <w:rFonts w:cs="Tahoma" w:ascii="Tahoma" w:hAnsi="Tahoma"/>
          <w:b/>
          <w:szCs w:val="24"/>
        </w:rPr>
        <w:t>incerteza, em boa hora registrada pela ilustre subscritora da decisão de fls. 00, quanto ao endereço no Estado de Minas.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Cs w:val="24"/>
        </w:rPr>
      </w:pPr>
      <w:r>
        <w:rPr>
          <w:rFonts w:cs="Tahoma" w:ascii="Tahoma" w:hAnsi="Tahoma"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1191" w:top="1417" w:footer="851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jc w:val="righ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b/>
      <w:sz w:val="22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semiHidden/>
    <w:qFormat/>
    <w:rPr>
      <w:vertAlign w:val="superscript"/>
    </w:rPr>
  </w:style>
  <w:style w:type="character" w:styleId="RodapChar" w:customStyle="1">
    <w:name w:val="Rodapé Char"/>
    <w:link w:val="Rodap"/>
    <w:uiPriority w:val="99"/>
    <w:qFormat/>
    <w:rsid w:val="002d3bd5"/>
    <w:rPr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2d3bd5"/>
    <w:rPr>
      <w:i/>
      <w:iCs/>
      <w:color w:val="4472C4" w:themeColor="accent1"/>
      <w:sz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taderodap">
    <w:name w:val="Footnote Text"/>
    <w:basedOn w:val="Normal"/>
    <w:semiHidden/>
    <w:pPr/>
    <w:rPr>
      <w:sz w:val="20"/>
    </w:rPr>
  </w:style>
  <w:style w:type="paragraph" w:styleId="BlockText">
    <w:name w:val="Block Text"/>
    <w:basedOn w:val="Normal"/>
    <w:qFormat/>
    <w:pPr>
      <w:ind w:left="2835" w:right="566" w:hanging="0"/>
      <w:jc w:val="both"/>
    </w:pPr>
    <w:rPr>
      <w:sz w:val="18"/>
    </w:rPr>
  </w:style>
  <w:style w:type="paragraph" w:styleId="Corpodotextorecuado">
    <w:name w:val="Body Text Indent"/>
    <w:basedOn w:val="Normal"/>
    <w:pPr>
      <w:ind w:left="2268" w:hanging="0"/>
      <w:jc w:val="both"/>
    </w:pPr>
    <w:rPr>
      <w:sz w:val="22"/>
    </w:rPr>
  </w:style>
  <w:style w:type="paragraph" w:styleId="BodyText2">
    <w:name w:val="Body Text 2"/>
    <w:basedOn w:val="Normal"/>
    <w:qFormat/>
    <w:pPr>
      <w:jc w:val="both"/>
    </w:pPr>
    <w:rPr>
      <w:b/>
      <w:sz w:val="20"/>
    </w:rPr>
  </w:style>
  <w:style w:type="paragraph" w:styleId="BodyText3">
    <w:name w:val="Body Text 3"/>
    <w:basedOn w:val="Normal"/>
    <w:qFormat/>
    <w:pPr>
      <w:jc w:val="both"/>
    </w:pPr>
    <w:rPr>
      <w:b/>
    </w:rPr>
  </w:style>
  <w:style w:type="paragraph" w:styleId="BodyTextIndent2">
    <w:name w:val="Body Text Indent 2"/>
    <w:basedOn w:val="Normal"/>
    <w:qFormat/>
    <w:pPr>
      <w:ind w:left="2268" w:firstLine="564"/>
      <w:jc w:val="both"/>
    </w:pPr>
    <w:rPr>
      <w:sz w:val="22"/>
    </w:rPr>
  </w:style>
  <w:style w:type="paragraph" w:styleId="BodyTextIndent3">
    <w:name w:val="Body Text Indent 3"/>
    <w:basedOn w:val="Normal"/>
    <w:qFormat/>
    <w:pPr>
      <w:ind w:left="2268" w:hanging="0"/>
      <w:jc w:val="both"/>
    </w:pPr>
    <w:rPr>
      <w:sz w:val="20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2d3bd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paragraph" w:styleId="NormalWeb">
    <w:name w:val="Normal (Web)"/>
    <w:basedOn w:val="Normal"/>
    <w:uiPriority w:val="99"/>
    <w:unhideWhenUsed/>
    <w:qFormat/>
    <w:rsid w:val="002d3bd5"/>
    <w:pPr>
      <w:spacing w:beforeAutospacing="1" w:afterAutospacing="1"/>
    </w:pPr>
    <w:rPr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71F07-F61D-4D64-9DE4-5DF435C3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8</Pages>
  <Words>1606</Words>
  <Characters>8458</Characters>
  <CharactersWithSpaces>10022</CharactersWithSpaces>
  <Paragraphs>64</Paragraphs>
  <Company>PRR/2a Regiao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2019-10-10T00:37:00Z</dcterms:created>
  <dc:creator>Divisao de Informatica</dc:creator>
  <dc:description/>
  <cp:keywords>HABEAS CORPUS. TÓXICOS. ANULAÇÃO SENTENÇA. COISA JULGADA</cp:keywords>
  <dc:language>pt-BR</dc:language>
  <cp:lastModifiedBy/>
  <cp:lastPrinted>2000-05-05T15:32:00Z</cp:lastPrinted>
  <dcterms:modified xsi:type="dcterms:W3CDTF">2020-04-15T18:53:27Z</dcterms:modified>
  <cp:revision>4</cp:revision>
  <dc:subject>HABEAS CORPUS. TOXICOS. ANULAÇÃO SENTENÇA. COISA JULGADA</dc:subject>
  <dc:title>TRIBUNAL REGIONAL FEDERAL DA 2ª REGIÃO - PRIMEIRA TURMA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PRR/2a Regiao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