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TRIBUNAL REGIONAL FEDERAL DA 0ª REGIÃO – 0ª TURMA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HABEAS CORPUS nº 00000000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IMPETRANTE:</w:t>
        <w:tab/>
        <w:t>NOME DO IMPETRANTE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IMPETRADO:</w:t>
        <w:tab/>
      </w:r>
      <w:r>
        <w:rPr>
          <w:rFonts w:cs="Tahoma" w:ascii="Tahoma" w:hAnsi="Tahoma"/>
          <w:b/>
          <w:szCs w:val="24"/>
        </w:rPr>
        <w:t>JUÍZO DA 00ª VARA FEDERAL CRIMINAL/UF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PACIENTE:</w:t>
        <w:tab/>
        <w:t>NOME DO PACIENTE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RELATOR:</w:t>
        <w:tab/>
      </w:r>
      <w:r>
        <w:rPr>
          <w:rFonts w:cs="Tahoma" w:ascii="Tahoma" w:hAnsi="Tahoma"/>
          <w:b/>
          <w:szCs w:val="24"/>
        </w:rPr>
        <w:t>DES. FEDERAL FULANO DE TAL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Egrégia Turma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O advogado </w:t>
      </w:r>
      <w:r>
        <w:rPr>
          <w:rFonts w:cs="Tahoma" w:ascii="Tahoma" w:hAnsi="Tahoma"/>
          <w:b/>
          <w:szCs w:val="24"/>
        </w:rPr>
        <w:t>FULANINHO</w:t>
      </w:r>
      <w:r>
        <w:rPr>
          <w:rFonts w:cs="Tahoma" w:ascii="Tahoma" w:hAnsi="Tahoma"/>
          <w:szCs w:val="24"/>
        </w:rPr>
        <w:t xml:space="preserve"> impetrou habeas corpus em favor de </w:t>
      </w:r>
      <w:r>
        <w:rPr>
          <w:rFonts w:cs="Tahoma" w:ascii="Tahoma" w:hAnsi="Tahoma"/>
          <w:b/>
          <w:szCs w:val="24"/>
        </w:rPr>
        <w:t>NIZZOLA FRANCESCO</w:t>
      </w:r>
      <w:r>
        <w:rPr>
          <w:rFonts w:cs="Tahoma" w:ascii="Tahoma" w:hAnsi="Tahoma"/>
          <w:szCs w:val="24"/>
        </w:rPr>
        <w:t xml:space="preserve"> contra ato do </w:t>
      </w:r>
      <w:r>
        <w:rPr>
          <w:rFonts w:cs="Tahoma" w:ascii="Tahoma" w:hAnsi="Tahoma"/>
          <w:b/>
          <w:szCs w:val="24"/>
        </w:rPr>
        <w:t xml:space="preserve">JUÍZO DA 00ª VARA FEDERAL CRIMINAL/UF, </w:t>
      </w:r>
      <w:r>
        <w:rPr>
          <w:rFonts w:cs="Tahoma" w:ascii="Tahoma" w:hAnsi="Tahoma"/>
          <w:szCs w:val="24"/>
        </w:rPr>
        <w:t>pelos fundamentos que seguem:</w:t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A Constituição Pátria, em seu artigo 5º, inciso XLII, veda claramente a concessão de graça ou anistia, vedação essa que foi recepcionada justamente na Lei nº 8.072/0000 – Lei dos Crimes Hediondos, a qual dispõe, em seu artigo 2º, inciso I, que: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‘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Art. 2º -  os crimes hediondos, a prática de tortura, o tráfico ilícito de entorpecentes e drogas afins e o terrorismo são insuscetíveis de: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 – anistia, graça ou indulto’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O Paciente, por seu turno, encontra-se cumprindo pena por conta de duas condenações, a saber: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* 6 anos de reclusão, como incurso nas penas do artigo 304, do CP;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* 17 anos e 4 meses de reclusão, como incurso nas penas dos artigos 12 c/c 18, I e 14 c/c 18, I, todos da Lei 6368/76 – Lei Antitóxicos.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Assim, Excelência, em tese, para os crimes previstos na Lei 6368/76 o Paciente não poderia ser anistiado, agraciado ou indultado.  Ocorre que, conforme vem reconhecendo a doutrina e a jurisprudência, o artigo 14, da Lei 6368/76, não está impregnado da hediondez que contamina os artigos 12 e 13, do mesmo diploma legal e, por conta disso, não sendo passível da aplicação das restrições previstas no artigo 2º, da Lei 8.072/0000.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...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Isto posto, é a presente para requerer, sempre respeitosamente, seja acolhida a ordem, após obtidas as informações de estilo e a douta apreciação do Ministério Público Federal, para que quando iniciada a execução da pena a qual inclui a condenação pelo artigo 14 e as majorantes do artigo 18, I, da Lei 6368/76, seja afastada, em relação a estes, as restrições existentes no artigo 2º, inciso I, da Lei 8.072/0000.”</w:t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o relatório.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Não há duvidar que o Supremo Tribunal Federal não reconhece inconstitucionalidade alguma na disposição do art. 2º, §1º da Lei 8.072/0000, que impõe o cumprimento da pena de crime hediondo integralmente em regime fechado.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mesma Corte Constitucional assegura, entretanto, não só a progressão do regime como também a possibilidade de “anistia, graça e indulto” em relação ao delito de associação (art. 14 da Lei 6368/76), na medida em que o art. 2º da Lei dos Crimes Hediondos só incide sobre o crime de tráfico (art. 12), como se lê nas ementas abaixo transcritas: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EMENTA: Crimes hediondos (L. 8.072/0000):  Regime fechado integral (art. 2º, § 1º), de constitucionalidade declarada pelo Plenário (ressalva pessoal do relator):  Inaplicabilidade, porém, da regra proibitiva da progressão ao condenado pelo delito de associação incriminado no art. 14 da Lei de Entorpecentes, inconfundível com o de tráfico, tipificado no art. 12, único daquele diploma a que se aplica a Lei dos Crimes Hediondos.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(STF – 1ª Turma –  HC nº: 7500078 – Decisão de 12/05/10000008 – Relator: SEPULVEDA PERTENCE)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</w:t>
      </w:r>
    </w:p>
    <w:p>
      <w:pPr>
        <w:pStyle w:val="Normal"/>
        <w:ind w:left="2410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EMBARGOS DECLARATORIOS - JULGAMENTO - POSIÇÃO DO JUIZ. AO DEFRONTAR-SE COM EMBARGOS DECLARATORIOS, O JULGADOR HÁ DE ATUAR COM ESPÍRITO DE  COMPREENSÃO, TENDO PRESENTES A ANGÚSTIA DA PARTE E O PREDICADO DA COMPLETITUDE INERENTE À PRESTAÇÃO JURISDICIONAL, MORMENTE QUANDO EM QUESTÃO A LIBERDADE.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PENA - DOSAGEM - MEIO HÁBIL.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O habeas corpus não se mostra o veiculo próprio ao exame da sentença condenatória, sob o ângulo do implemento da justiça, no que fixada a pena acima do mínimo legal.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PENA - REGIME DE CUMPRIMENTO - PROGRESSAO - LEI DE TÓXICO.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A norma extravagante do par. 1º do artigo 2º da Lei n. 8.072/76, tida como constitucional pelo plenário do Supremo Tribunal Federal, ocasião em que fiquei vencido, juntamente com o Ministro Sepúlveda Pertence  (habeas corpus n. 6000.657-1, cujo acórdão foi veiculado no Diário da Justiça de 18 de junho de 10000003) clama por interpretação estrita.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O  afastamento da progressividade no cumprimento da pena apenas ocorre em relação aos crimes referidos na cabeça do artigo - os hediondos, a tortura, o trafico de entorpecentes e drogas afins e o terrorismo.  Aplicação restrita, considerados os tipos da Lei n. 6.368/76, ao do artigo 12 - o trafico de entorpecentes e drogas afins - não se estendendo, sequer, à associação cominada no artigo 14.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STF – 2ª Turma – Emb. Decl. em HC nº: 70207 – Decisão de 31/05/10000004 – Relator.: PAULO BROSSARD – Revisor: MARCO AURELIO)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Não merece, contudo, prosperar a tese, também defendida na inicial, da não aplicabilidade do art. 2º da Lei 8.078/0000 à causa de aumento prevista no art. 18 da Lei de Tóxicos, quando deva ela incidir sobre a pena cominada ao delito tipificado no seu art. 12.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Configurando o art. 18 – como, de fato, configura – causa de aumento de pena, por definição desprovida de autonomia em relação ao tipo penal sobre o qual incide, contamina-se ela, necessariamente, da mesma hediondez de que se reveste o crime de tráfico.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dizer, da combinação do art. 12 (“importar ou exportar, ...substância entorpecente ou que determine dependência física ou psíquica”) com o art. 18 (“as penas dos crimes definidos nesta Lei serão aumentadas de 1/3 a 2/3 ... no caso de tráfico com o exterior ou de extraterritorialidade da lei penal”) resulta uma modalidade específica de tráfico de drogas, correspondente à conduta de quem “exporta, para o exterior, substância entorpecente”, restando, portanto, impossível descaracterizar a proibição de anistia, graça ou indulto em relação ao acréscimo de pena decorrente dessa majorante.</w:t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Do exposto, o parecer é no sentido da concessão parcial da ordem, para que, quando iniciada a execução da pena, sejam afastadas, em relação à condenação pelo art. 14 c/c art. 18, I, da Lei 6.368/76, as restrições do art. 2º, I, da Lei 8.072/0000, que deverão, isso não obstante, prevalecer relativamente à condenação pelo crime do art. 12 c/c art. 18, I, também da Lei 6.368/76.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Cs w:val="24"/>
        </w:rPr>
      </w:pPr>
      <w:r>
        <w:rPr>
          <w:rFonts w:cs="Tahoma" w:ascii="Tahoma" w:hAnsi="Tahoma"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284" w:top="1417" w:footer="284" w:bottom="141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2" w:name="_Hlk18660203"/>
    <w:bookmarkStart w:id="3" w:name="_Hlk18660203"/>
    <w:bookmarkEnd w:id="3"/>
    <w:r>
      <mc:AlternateContent>
        <mc:Choice Requires="wps">
          <w:drawing>
            <wp:anchor behindDoc="0" distT="0" distB="0" distL="0" distR="0" simplePos="0" locked="0" layoutInCell="1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3.8pt;mso-wrap-distance-left:0pt;mso-wrap-distance-right:0pt;mso-wrap-distance-top:0pt;mso-wrap-distance-bottom:0pt;margin-top:0.05pt;mso-position-vertical-relative:text;margin-left:424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0" w:name="_Hlk19040810"/>
    <w:bookmarkStart w:id="1" w:name="_Hlk19040810"/>
    <w:bookmarkEnd w:id="1"/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ind w:right="360" w:hanging="0"/>
      <w:jc w:val="right"/>
      <w:rPr>
        <w:b/>
        <w:b/>
      </w:rPr>
    </w:pPr>
    <w:r>
      <w:rPr>
        <w:b/>
      </w:rPr>
      <w:t>HC nº 2000.02.01.040965-4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link w:val="Rodap"/>
    <w:uiPriority w:val="99"/>
    <w:qFormat/>
    <w:rsid w:val="00bc4bb1"/>
    <w:rPr>
      <w:sz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c4bb1"/>
    <w:rPr>
      <w:i/>
      <w:iCs/>
      <w:color w:val="4472C4" w:themeColor="accent1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ind w:left="2183" w:hanging="0"/>
      <w:jc w:val="both"/>
    </w:pPr>
    <w:rPr/>
  </w:style>
  <w:style w:type="paragraph" w:styleId="Recuodecorpodetexto21" w:customStyle="1">
    <w:name w:val="Recuo de corpo de texto 21"/>
    <w:basedOn w:val="Normal"/>
    <w:qFormat/>
    <w:pPr>
      <w:ind w:left="2268" w:hanging="0"/>
      <w:jc w:val="both"/>
    </w:pPr>
    <w:rPr>
      <w:i/>
      <w:sz w:val="20"/>
    </w:rPr>
  </w:style>
  <w:style w:type="paragraph" w:styleId="Corpodotextorecuado">
    <w:name w:val="Body Text Indent"/>
    <w:basedOn w:val="Normal"/>
    <w:pPr>
      <w:ind w:left="2124" w:hanging="0"/>
      <w:jc w:val="both"/>
    </w:pPr>
    <w:rPr>
      <w:i/>
    </w:rPr>
  </w:style>
  <w:style w:type="paragraph" w:styleId="BodyTextIndent2">
    <w:name w:val="Body Text Indent 2"/>
    <w:basedOn w:val="Normal"/>
    <w:qFormat/>
    <w:pPr>
      <w:ind w:firstLine="2127"/>
      <w:jc w:val="both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c4bb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5</Pages>
  <Words>1147</Words>
  <Characters>5852</Characters>
  <CharactersWithSpaces>6976</CharactersWithSpaces>
  <Paragraphs>47</Paragraphs>
  <Company>PRR/2a Regiao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2019-10-10T00:41:00Z</dcterms:created>
  <dc:creator>Divisao de Informatica</dc:creator>
  <dc:description/>
  <dc:language>pt-BR</dc:language>
  <cp:lastModifiedBy/>
  <cp:lastPrinted>2000-08-16T20:00:00Z</cp:lastPrinted>
  <dcterms:modified xsi:type="dcterms:W3CDTF">2020-04-15T18:53:19Z</dcterms:modified>
  <cp:revision>4</cp:revision>
  <dc:subject>HABEAS CORPUS REVOGAÇÃO PRISÃO PREVENTIVA</dc:subject>
  <dc:title>HABEAS CORPUS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PRR/2a Regiao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