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customXml/item1.xml" ContentType="application/xml"/>
  <Override PartName="/customXml/itemProps1.xml" ContentType="application/vnd.openxmlformats-officedocument.customXmlProperties+xml"/>
  <Override PartName="/customXml/_rels/item1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tulo1"/>
        <w:jc w:val="left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TRIBUNAL REGIONAL FEDERAL DA 00ª REGIÃO – 00ª TURMA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HABEAS CORPUS nº 000000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IMPETRANTE: NOME DO IMPETRANTE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IMPETRADO:</w:t>
        <w:tab/>
      </w:r>
      <w:r>
        <w:rPr>
          <w:rFonts w:cs="Tahoma" w:ascii="Tahoma" w:hAnsi="Tahoma"/>
          <w:b/>
          <w:szCs w:val="24"/>
        </w:rPr>
        <w:t>JUÍZO DA 00ª VARA FEDERAL CRIMINAL DE CIDADE/UF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  <w:lang w:val="en-US"/>
        </w:rPr>
      </w:pPr>
      <w:r>
        <w:rPr>
          <w:rFonts w:cs="Tahoma" w:ascii="Tahoma" w:hAnsi="Tahoma"/>
          <w:szCs w:val="24"/>
          <w:lang w:val="en-US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  <w:lang w:val="en-US"/>
        </w:rPr>
      </w:pPr>
      <w:r>
        <w:rPr>
          <w:rFonts w:cs="Tahoma" w:ascii="Tahoma" w:hAnsi="Tahoma"/>
          <w:szCs w:val="24"/>
          <w:lang w:val="en-US"/>
        </w:rPr>
        <w:t>PACIENTE: NOME DO PACIENTE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  <w:lang w:val="en-US"/>
        </w:rPr>
      </w:pPr>
      <w:r>
        <w:rPr>
          <w:rFonts w:cs="Tahoma" w:ascii="Tahoma" w:hAnsi="Tahoma"/>
          <w:szCs w:val="24"/>
          <w:lang w:val="en-US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  <w:lang w:val="en-US"/>
        </w:rPr>
        <w:t>RELATOR:</w:t>
        <w:tab/>
      </w:r>
      <w:r>
        <w:rPr>
          <w:rFonts w:cs="Tahoma" w:ascii="Tahoma" w:hAnsi="Tahoma"/>
          <w:b/>
          <w:szCs w:val="24"/>
          <w:lang w:val="en-US"/>
        </w:rPr>
        <w:t xml:space="preserve">DES. </w:t>
      </w:r>
      <w:r>
        <w:rPr>
          <w:rFonts w:cs="Tahoma" w:ascii="Tahoma" w:hAnsi="Tahoma"/>
          <w:b/>
          <w:szCs w:val="24"/>
        </w:rPr>
        <w:t>FULANO DE TAL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b/>
          <w:szCs w:val="24"/>
        </w:rPr>
        <w:t>Egrégia Turma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>Trata-se de habeas corpus impetrado por</w:t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em favor de  contra ato do </w:t>
      </w:r>
      <w:r>
        <w:rPr>
          <w:rFonts w:cs="Tahoma" w:ascii="Tahoma" w:hAnsi="Tahoma"/>
          <w:b/>
          <w:szCs w:val="24"/>
        </w:rPr>
        <w:t>JUÍZO DA 00ª VARA FEDERAL CRIMINAL DE CIDADE/UF</w:t>
      </w:r>
      <w:r>
        <w:rPr>
          <w:rFonts w:cs="Tahoma" w:ascii="Tahoma" w:hAnsi="Tahoma"/>
          <w:szCs w:val="24"/>
        </w:rPr>
        <w:t>, pelas seguintes razões: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“</w:t>
      </w:r>
      <w:r>
        <w:rPr>
          <w:rFonts w:cs="Tahoma" w:ascii="Tahoma" w:hAnsi="Tahoma"/>
          <w:szCs w:val="24"/>
        </w:rPr>
        <w:t>Em DIA/MÊS/ANO o Paciente foi preso em flagrante por volta das 00:00 horas (doc nº 00, denúncia) no setor vermelho de embarque do Aeroporto TAL, pois embora não tivesse consciência disso, ficou constatado pela polícia federal que o denunciado trazia consigo, numa pasta preta, oculto sob as paredes desta bagagem, dois pacotes retangulares, os quais continham a quantidade de 00 g (PESO DA DROGA) da substância entorpecente denominada Cloridrato de Cocaína.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foi denunciado pelo Ilustre MPF nas penas do art. 12, c/c 18, inc I, da Lei 6368/76, sendo a denúncia recebida em 28/04/2000 (doc nº 02)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Por ocasião de seu interrogatório (doc nº 00) o juiz não indagou do interrogando se este fazia uso de alguma substância entorpecente conforme art. 22 parágrafo 5º da lei 6368/76 recomenda-se a indagação seja hipótese de crime de traficante, seja de usuário. (...)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No caso em tela, o fato do M.M.juízo da 00ª Vara Federal não ter feito a pergunta se o Paciente era ou não dependente de droga acarretou enorme prejuízo ao Paciente, isto porque dias mais tarde a defesa recebeu um Fax (doc nº 00) enviado pela família do réu, do Muhimbili Medical Centre, onde informa que o Paciente foi admitido no Hospital psiquiátrico em março de 10000002, levado por parentes, que já não conseguiam contê-lo devido a distúrbios causados por drogas (...) e ao longo do seu tratamento percebeu-se que ele era usuário de cocaína e heroína injetável por mais de 10 anos (...)  Em novembro de 10000005 ele voltou ao Hospital com sintomas ainda mais graves, porque, tendo continuado a suar drogas, seu quadro clínico também se agravou (...)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 Quando retornou  em 10000008 por sua própria vontade, ele já estava com a síndrome de dependência de cocaína.  O Paciente ainda continua precisando de auxílio médico para completar sua desintoxicação e de tratamento para se livrar  por completo da dependência de drogas.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Em vista da grande importância de tal documento, a defesa se viu obrigada, em nome do princípio da ampla defesa e do contraditório, esculpidos na Constituição Federal, a requerer o exame de dependência toxicológica.  Além do que por ser o Paciente estrangeiro, não entender português e só falar inglês meio complicado (...) não contou ao M.M.juízo este fato de suma importância.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...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Sendo certo que a manifestação das partes sobre o exame toxicológico é exigida, sob pena de nulidade da sentença, tanto que exatamente para que as partes se manifestem, o laudo deve ser juntado no processo antes da audiência de instrução e julgamento, nos termos do art. 25 da lei 6368/76. (...)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Acontece que no caso em tela foi concedido o exame toxicológico (doc nº 00) e marcado inicialmente o exame para o DIA/MÊS/ANO conforme (doc nº 00 anexado).  No entanto, na data marcada, sem maiores explicações, não se pode realizar o exame porque a Polícia Federal não trouxe o custodiado ao local (Hospital Heitor Carrilho).  Acertou-se então por telefone, dada a urgência da questão, que mandariam trazer o preso no dia seguinte, visto haver uma vaga para a realização do tal exame.  Infelizmente, no DIA/MÊS/ANO, houve a suposta greve dos agentes federais, o assassinato da delegada da penitenciária TAL e novamente não se cumpriu com a obrigação.  Nova data foi marcada; DIA/MÊS/ANO (doc nº 00), mas outra vez não se cumpriu com o dever.  Muito embora essa defensora tenha desdobrado em pedidos e requerido uma data mais perto, só conseguiu marcar novamente o exame de dependência toxicológica para o DIA/MÊS/ANO conforme (doc anexo nº 00).</w:t>
      </w:r>
    </w:p>
    <w:p>
      <w:pPr>
        <w:pStyle w:val="Normal"/>
        <w:ind w:left="2268" w:hanging="0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  <w:t>Diante do exposto, verifica-se que o prazo global para efeito de consideração de excesso de prazo conforme entendimento majoritário dos Tribunais com fulcro no art. 35, parágrafo único, da referida Lei; sendo de 10002 dias, será extrapolado antes da data marcada para o exame toxicológico quiçá se excederá mais ainda até a data da sentença final.  Acarretando assim sem sombras de dúvidas constrangimento ilegal por excesso de prazo ao legalmente determinado, capaz de ensejar a soltura do Paciente.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...</w:t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b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Importante salientar que, como diz o prof. Nilo Batista, analisando o porte ilegal, para se configurar o delito imputado ao Paciente na r. denúncia “é necessário que o agente saiba que está portando substância entorpecente ou capaz de determinar dependência física ou psíquica”.  O elemento subjetivo do tipo comum das figuras penais é o dolo, consciente na vontade de concretizar os elementos objetivos da norma incriminadora.  Trata-se de dolo abrangente, exigindo o conhecimento de que a substância é entorpecente ou que cause dependência física ou psíquica e de que não há autorização legal ou regulamentar.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Paciente em seu interrogatório disse que não sabia que portava a substância entorpecente.  No depoimento das testemunhas de acusação restou claro conforme as declarações dos próprios agentes policiais que só era possível identificar a existência da droga através do Raio X (doc nº 0000) e as fls. 00 in fine  (doc nº 00) se esclarece que uma pessoa comum não saberia identificar se havia alguma coisa escondida.  Portanto há uma grande possibilidade de que o paciente realmente não soubesse que trazia a substância entorpecente consigo, visto estar a droga escondida em sua bagagem.  E, que outras pessoas inidôneas o houvessem usado para transporte da droga.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certo, que com o resultado do exame toxicológico teremos uma desclassificação do crime, se não para o art. 16, ao menos para o art. 1000 com seu parágrafo único da referida Lei.  O Paciente inclusive já foi levado ao hospital sentido-se mal (doc nº 11).  Seria uma tremenda injustiça e de fato um constrangimento ilegal manter um dependente físico ou psíquico proveniente de caso fortuito ou força maior, que seria ao tempo da ação ou da omissão, qualquer que seja a infração penal praticada, inteiramente capaz de entender o caráter ilícito do fato ou de determinar-se de acordo com esse entendimento.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(...)”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Às fls. 00, o pedido de liminar foi indeferido.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Às fls. 00, a autoridade impetrada prestou suas informações: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“</w:t>
      </w:r>
      <w:r>
        <w:rPr>
          <w:rFonts w:cs="Tahoma" w:ascii="Tahoma" w:hAnsi="Tahoma"/>
          <w:szCs w:val="24"/>
        </w:rPr>
        <w:t>Alega a defesa que o paciente encontra-se preso há 00 dias, sendo certo que ainda não encerrada a instrução criminal, havendo constrangimento ilegal a ensejar o relaxamento da medida cautelar detentiva.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...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O ilustre juiz substituto em exercício neste Juízo encaminhou ordem para realização de exame de sanidade mental e dependência toxicológica no acusado.  Apesar de insistentes reiterações, até o presente momento a ordem ainda não foi cumprida pelo Diretor do Hospital Heitor Carrilho, em evidente desrespeito aos provimentos jurisdicionais.  Este Juízo compartilha da preocupação da defesa, entendendo insustentável a presente situação.  Chamo atenção de V. Exa. para o despacho adiante transcrito, que detalha a situação do preso, o descumprimento das ordens judiciais e a providência já tomada por este Juízo: (...)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Conforme o despacho referido, este Juízo estabeleceu  como data limite para a apresentação do laudo o próximo dia 0000 de novembro, determinando, inclusive, a custódia do réu no próprio nosocômio e a expedição de mandado de entrega dos autos principais independentemente do exame de dependência, de forma a tomar as medidas cabíveis, dentre as quais não se exclui  o relaxamento da prisão provisória, após aquela data.  Se não o fez até o momento, é porque o prazo para conclusão da instrução não é peremptório, podendo ser interpretado segundo os critérios da razoabilidade, não dispondo este Juízo, até o momento, de explicações definitivas da unidade hospitalar acerca do atraso na entrega do laudo que possam justificá-la.  Aliás, conforme consta do despacho acima mencionado, também houve a determinação de inquérito policial para apurar o ocorrido.”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É o relatório.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De fato, preso o paciente em DIA/MÊS/ANO, é no mínimo preocupante que até hoje não tenha tido oportunidade de submeter-se aos exames toxicológico e de dependência previstos no art. 25 da Lei nº 6.368/76, os quais, por expressa determinação legal, “serão juntados ao processo até a audiência de instrução e julgamento”.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Tem-se, contudo e antes de mais nada, a considerar que, no caso específico, a demora na produção do laudo, providência requerida pela defesa em seu benefício, não é, de fato, imputável ao Poder Judiciário, como reconhece a própria impetrante: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Acontece que no caso em tela foi concedido o exame toxicológico (doc nº 00) e marcado inicialmente o exame para o DIA/MÊS/ANO conforme (doc nº 00 anexado).  No entanto, na data marcada, sem maiores explicações, não se pode realizar o exame porque a Polícia Federal não trouxe o custodiado ao local (Hospital Heitor Carrilho).  Acertou-se então por telefone, dada a urgência da questão, que mandariam trazer o preso no dia seguinte, visto haver uma vaga para a realização do tal exame.  Infelizmente, no DIA/MÊS/ANO, houve a suposta greve dos agentes federais, o assassinato da delegada da penitenciária da Bangu I e novamente não se cumpriu com a obrigação.  Nova data foi marcada; DIA/MÊS/ANO (doc nº 00), mas outra vez não se cumpriu com o dever.  Muito embora essa defensora tenha desdobrado em pedidos e requerido uma data mais perto, só conseguiu marcar novamente o exame de dependência toxicológica para o dia 8 de novembro conforme (doc anexo nº 00).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b/>
          <w:b/>
          <w:szCs w:val="24"/>
        </w:rPr>
      </w:pPr>
      <w:r>
        <w:rPr>
          <w:rFonts w:cs="Tahoma" w:ascii="Tahoma" w:hAnsi="Tahoma"/>
          <w:szCs w:val="24"/>
        </w:rPr>
        <w:t xml:space="preserve">O atraso na instrução do processo, repita-se, embora indesejável, não justifica, por si só, o relaxamento da prisão provisória.  No caso dos autos, a providência se afigura ainda menos recomendável quando se considere que o Juízo impetrado demonstrou estar atento ao “excesso”, havendo mesmo designado o DIA/MÊS/ANO como data-limite para os exames, além de haver adotado medidas outras tendentes a assegurar a sua pronta realização.  </w:t>
      </w:r>
      <w:r>
        <w:rPr>
          <w:rFonts w:cs="Tahoma" w:ascii="Tahoma" w:hAnsi="Tahoma"/>
          <w:b/>
          <w:szCs w:val="24"/>
        </w:rPr>
        <w:t>Recomenda-se mesmo, a meu aviso, que, antes do julgamento do presente habeas corpus, expeça essa Egrégia Turma ofício ao juízo a quo, em caráter de urgência, solicitando informações acerca do atual estado do processo.</w:t>
      </w:r>
    </w:p>
    <w:p>
      <w:pPr>
        <w:pStyle w:val="Normal"/>
        <w:tabs>
          <w:tab w:val="clear" w:pos="708"/>
          <w:tab w:val="left" w:pos="0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tabs>
          <w:tab w:val="clear" w:pos="708"/>
          <w:tab w:val="left" w:pos="1701" w:leader="none"/>
        </w:tabs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Por outro lado, a manutenção da custódia cautelar tem aqui a aconselhá-la a subsistência dos outros motivos que ensejaram a sua decretação, quais sejam, o fato de FULANO DE TAL haver sido preso em flagrante e a circunstância de residir em outro país.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Neste sentido, há precedentes na jurisprudência do Egrégio Superior Tribunal de Justiça.  É conferir: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IntenseQuote"/>
        <w:rPr/>
      </w:pPr>
      <w:r>
        <w:rPr/>
        <w:t>PROCESSUAL PENAL. "HABEAS CORPUS". PRESO EM FLAGRANTE. SUMÁRIO DE CULPA. EXCESSO DE PRAZO. PROVA DA DEFESA. SÚMULA Nº 64/STJ.</w:t>
      </w:r>
    </w:p>
    <w:p>
      <w:pPr>
        <w:pStyle w:val="IntenseQuote"/>
        <w:rPr/>
      </w:pPr>
      <w:r>
        <w:rPr/>
        <w:t>- Não é imputável ao aparelho judiciário eventual demora no curso do sumário provocada por atraso na realização de exame de dependência toxicológica, requerido pela própria defesa.</w:t>
      </w:r>
    </w:p>
    <w:p>
      <w:pPr>
        <w:pStyle w:val="IntenseQuote"/>
        <w:rPr/>
      </w:pPr>
      <w:r>
        <w:rPr/>
        <w:t>- Inteligência da Súmula nº 64/STJ.</w:t>
      </w:r>
    </w:p>
    <w:p>
      <w:pPr>
        <w:pStyle w:val="IntenseQuote"/>
        <w:rPr/>
      </w:pPr>
      <w:r>
        <w:rPr/>
        <w:t>- Recurso ordinário desprovido.</w:t>
      </w:r>
    </w:p>
    <w:p>
      <w:pPr>
        <w:pStyle w:val="IntenseQuote"/>
        <w:rPr/>
      </w:pPr>
      <w:r>
        <w:rPr/>
        <w:t>(STJ – 6ª Turma – RHC 7574/SP – Relator(a) Min. VICENTE LEAL – Data da Decisão 16/06/10000008)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 xml:space="preserve">(...) </w:t>
      </w:r>
    </w:p>
    <w:p>
      <w:pPr>
        <w:pStyle w:val="IntenseQuote"/>
        <w:rPr/>
      </w:pPr>
      <w:r>
        <w:rPr/>
        <w:t>PENAL. PRISÃO PREVENTIVA. EXCESSO DE PRAZO. JUSTIFICATIVA.</w:t>
      </w:r>
    </w:p>
    <w:p>
      <w:pPr>
        <w:pStyle w:val="IntenseQuote"/>
        <w:rPr/>
      </w:pPr>
      <w:r>
        <w:rPr/>
        <w:t>- DEMONSTRADO QUE O RETARDO NA INSTRUÇÃO DO PROCESSO DECORRE DE CAUSAS QUE O JUSTIFICAM, DESMERECE PROSPERAR O PEDIDO DE RELAXAMENTO DA PRISÃO.</w:t>
      </w:r>
    </w:p>
    <w:p>
      <w:pPr>
        <w:pStyle w:val="IntenseQuote"/>
        <w:rPr/>
      </w:pPr>
      <w:r>
        <w:rPr/>
        <w:t>- HABEAS CORPUS DENEGADO.</w:t>
      </w:r>
    </w:p>
    <w:p>
      <w:pPr>
        <w:pStyle w:val="IntenseQuote"/>
        <w:rPr/>
      </w:pPr>
      <w:r>
        <w:rPr/>
        <w:t>(STJ – 6ª Turma – HC 5737/GO –Relator(a) Min. WILLIAM PATTERSON – Data da Decisão 26/05/10000007)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(...)</w:t>
      </w:r>
    </w:p>
    <w:p>
      <w:pPr>
        <w:pStyle w:val="IntenseQuote"/>
        <w:rPr/>
      </w:pPr>
      <w:r>
        <w:rPr/>
        <w:t>PROCESSUAL PENAL. HABEAS-CORPUS. PRISÃO PROCESSUAL. SENTENÇA CONDENATÓRIA. EXAME DE DEPENDÊNCIA TOXICOLÓGICA. CONVERSÃO DO JULGAMENTO EM DILIGÊNCIA PELO TRIBUNAL. MANUTENÇÃO DA CUSTÓDIA.</w:t>
      </w:r>
    </w:p>
    <w:p>
      <w:pPr>
        <w:pStyle w:val="IntenseQuote"/>
        <w:rPr/>
      </w:pPr>
      <w:r>
        <w:rPr/>
        <w:t>-  Condenado o réu em primeiro grau por tráfico de entorpecentes, com manutenção da pisão em flagrante, a conversão  do  julgamento em diligência para exame de dependência toxicológica em sede de apelação não enseja a desconstituição da custódia, já que subsistentes os motivos que a justificaram.</w:t>
      </w:r>
    </w:p>
    <w:p>
      <w:pPr>
        <w:pStyle w:val="IntenseQuote"/>
        <w:rPr/>
      </w:pPr>
      <w:r>
        <w:rPr/>
        <w:t>- Habeas-corpus denegado.</w:t>
      </w:r>
    </w:p>
    <w:p>
      <w:pPr>
        <w:pStyle w:val="IntenseQuote"/>
        <w:rPr/>
      </w:pPr>
      <w:r>
        <w:rPr/>
        <w:t>(STJ – 6ª Turma – HC 1000000/RJ –Relator(a) Min. VICENTE LEAL – Data da Decisão 1000/0000/2000)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  <w:t>Do exposto, o parecer é, em princípio, no sentido da denegação da ordem.  Caso o juízo a quo venha a informar que o exame ainda não se realizou, pela sua concessão.</w:t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Termos em que,</w:t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</w:r>
    </w:p>
    <w:p>
      <w:pPr>
        <w:pStyle w:val="NormalWeb"/>
        <w:shd w:val="clear" w:color="auto" w:fill="FFFFFF"/>
        <w:spacing w:lineRule="atLeast" w:line="390" w:beforeAutospacing="0" w:before="240" w:afterAutospacing="0" w:after="300"/>
        <w:rPr>
          <w:rFonts w:ascii="Tahoma" w:hAnsi="Tahoma" w:cs="Tahoma"/>
          <w:spacing w:val="2"/>
        </w:rPr>
      </w:pPr>
      <w:r>
        <w:rPr>
          <w:rFonts w:cs="Tahoma" w:ascii="Tahoma" w:hAnsi="Tahoma"/>
          <w:spacing w:val="2"/>
        </w:rPr>
        <w:t>Pede Deferimento.</w:t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</w:r>
    </w:p>
    <w:p>
      <w:pPr>
        <w:pStyle w:val="Normal"/>
        <w:rPr>
          <w:rFonts w:ascii="Tahoma" w:hAnsi="Tahoma" w:cs="Tahoma"/>
          <w:color w:val="000000"/>
          <w:szCs w:val="24"/>
        </w:rPr>
      </w:pPr>
      <w:r>
        <w:rPr>
          <w:rFonts w:cs="Tahoma" w:ascii="Tahoma" w:hAnsi="Tahoma"/>
          <w:color w:val="000000"/>
          <w:szCs w:val="24"/>
        </w:rPr>
        <w:t>CIDADE, 00, MÊS, ANO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ADVOGADO</w:t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Cs w:val="24"/>
        </w:rPr>
      </w:pPr>
      <w:r>
        <w:rPr>
          <w:rFonts w:cs="Tahoma" w:ascii="Tahoma" w:hAnsi="Tahoma"/>
          <w:b/>
          <w:bCs/>
          <w:color w:val="000000"/>
          <w:szCs w:val="24"/>
        </w:rPr>
        <w:t>OAB Nº</w:t>
      </w:r>
      <w:bookmarkStart w:id="0" w:name="_Hlk19878861"/>
      <w:bookmarkEnd w:id="0"/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szCs w:val="24"/>
        </w:rPr>
      </w:pPr>
      <w:r>
        <w:rPr>
          <w:rFonts w:cs="Tahoma" w:ascii="Tahoma" w:hAnsi="Tahoma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MUDANÇAS DO PACOTE ANTI CRIME</w:t>
      </w:r>
    </w:p>
    <w:p>
      <w:pPr>
        <w:pStyle w:val="Normal"/>
        <w:rPr>
          <w:rFonts w:ascii="Calibri" w:hAnsi="Calibri" w:cs="" w:asciiTheme="minorHAnsi" w:cstheme="minorBidi" w:hAnsiTheme="minorHAnsi"/>
          <w:sz w:val="22"/>
          <w:szCs w:val="22"/>
        </w:rPr>
      </w:pPr>
      <w:r>
        <w:rPr>
          <w:rFonts w:cs="" w:cstheme="minorBidi" w:ascii="Calibri" w:hAnsi="Calibri"/>
          <w:sz w:val="22"/>
          <w:szCs w:val="22"/>
        </w:rPr>
      </w:r>
    </w:p>
    <w:p>
      <w:pPr>
        <w:pStyle w:val="Normal"/>
        <w:rPr>
          <w:rFonts w:ascii="Tahoma" w:hAnsi="Tahoma" w:cs="Tahoma"/>
          <w:color w:val="FF0000"/>
          <w:szCs w:val="24"/>
        </w:rPr>
      </w:pPr>
      <w:r>
        <w:rPr>
          <w:rFonts w:cs="Tahoma" w:ascii="Tahoma" w:hAnsi="Tahoma"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LEGÍTIMA DEFESA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Foi estendida a agente de segurança pública que repele agressão ou risco de agressão a vítima mantida refém.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TEMPO MÁXIMO DE CUMPRIMENTO DE PENA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A nova lei amplia o tempo máximo de cumprimento da pena para 40 anos. Penas cujo somatório superasse isso seriam unificadas em 40 anos.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NÃO PERSECUÇÃO PENAL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O grupo de trabalho aprovou texto proposto por Alexandre Moraes que define o acordo de não persecução penal, aplicado a infrações penais sem violência e com pena mínima de quatro anos. Bolsonaro vetou que a não persecução possa ocorrer nos casos de crimes de improbidade administrativa.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- JUIZ DE GARANTIAS</w:t>
      </w:r>
    </w:p>
    <w:p>
      <w:pPr>
        <w:pStyle w:val="Normal"/>
        <w:rPr>
          <w:rFonts w:ascii="Calibri" w:hAnsi="Calibri" w:cs="" w:asciiTheme="minorHAnsi" w:cstheme="minorBidi" w:hAnsiTheme="minorHAnsi"/>
          <w:b/>
          <w:b/>
          <w:bCs/>
          <w:sz w:val="22"/>
          <w:szCs w:val="22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Deputados incluíram o juiz de garantias, que atua durante a fase de investigação do processo até o oferecimento da denúncia. Ele não julga. A ideia é evitar acusações de parcialidade</w:t>
      </w:r>
      <w:r>
        <w:rPr>
          <w:b/>
          <w:bCs/>
        </w:rPr>
        <w:t>.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  <w:highlight w:val="white"/>
        </w:rPr>
      </w:pPr>
      <w:r>
        <w:rPr>
          <w:rFonts w:cs="Tahoma" w:ascii="Tahoma" w:hAnsi="Tahoma"/>
          <w:b/>
          <w:bCs/>
          <w:color w:val="FF0000"/>
          <w:szCs w:val="24"/>
          <w:shd w:fill="FFFFFF" w:val="clear"/>
        </w:rPr>
        <w:t>- PENA PARA LÍDERES CRIMINOSOS</w:t>
      </w:r>
    </w:p>
    <w:p>
      <w:pPr>
        <w:pStyle w:val="Normal"/>
        <w:rPr>
          <w:rFonts w:ascii="Tahoma" w:hAnsi="Tahoma" w:cs="Tahoma"/>
          <w:b/>
          <w:b/>
          <w:bCs/>
          <w:color w:val="FF0000"/>
          <w:szCs w:val="24"/>
        </w:rPr>
      </w:pPr>
      <w:r>
        <w:rPr>
          <w:rFonts w:cs="Tahoma" w:ascii="Tahoma" w:hAnsi="Tahoma"/>
          <w:b/>
          <w:bCs/>
          <w:color w:val="FF0000"/>
          <w:szCs w:val="24"/>
        </w:rPr>
        <w:t>Líderes de facções começassem a cumprir pena em prisões de segurança máxima e proibiu progressão ao preso que ainda tivesse vínculo com a organização;</w:t>
      </w:r>
    </w:p>
    <w:p>
      <w:pPr>
        <w:pStyle w:val="Normal"/>
        <w:rPr>
          <w:rFonts w:ascii="Tahoma" w:hAnsi="Tahoma" w:cs="Tahoma"/>
          <w:szCs w:val="24"/>
        </w:rPr>
      </w:pPr>
      <w:r>
        <w:rPr/>
      </w:r>
    </w:p>
    <w:sectPr>
      <w:headerReference w:type="default" r:id="rId2"/>
      <w:footerReference w:type="default" r:id="rId3"/>
      <w:type w:val="nextPage"/>
      <w:pgSz w:w="11906" w:h="16838"/>
      <w:pgMar w:left="1701" w:right="1701" w:header="284" w:top="1417" w:footer="284" w:bottom="1417" w:gutter="0"/>
      <w:pgNumType w:fmt="decimal"/>
      <w:formProt w:val="false"/>
      <w:textDirection w:val="lrTb"/>
      <w:docGrid w:type="default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ahoma">
    <w:charset w:val="00"/>
    <w:family w:val="roman"/>
    <w:pitch w:val="variable"/>
  </w:font>
  <w:font w:name="Liberation Sans">
    <w:altName w:val="Arial"/>
    <w:charset w:val="00"/>
    <w:family w:val="swiss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Rodap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9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2" name="Quadro2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Rodap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Rodap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Rodap"/>
      <w:ind w:right="360" w:hanging="0"/>
      <w:rPr/>
    </w:pPr>
    <w:r>
      <w:rPr/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Normal"/>
      <w:rPr/>
    </w:pPr>
    <w:r>
      <w:rPr/>
    </w:r>
    <w:r>
      <mc:AlternateContent>
        <mc:Choice Requires="wps">
          <w:drawing>
            <wp:anchor behindDoc="0" distT="0" distB="0" distL="0" distR="0" simplePos="0" locked="0" layoutInCell="1" allowOverlap="1" relativeHeight="10">
              <wp:simplePos x="0" y="0"/>
              <wp:positionH relativeFrom="margin">
                <wp:align>right</wp:align>
              </wp:positionH>
              <wp:positionV relativeFrom="paragraph">
                <wp:posOffset>635</wp:posOffset>
              </wp:positionV>
              <wp:extent cx="76835" cy="175260"/>
              <wp:effectExtent l="0" t="0" r="0" b="0"/>
              <wp:wrapSquare wrapText="largest"/>
              <wp:docPr id="1" name="Quadro1"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6835" cy="175260"/>
                      </a:xfrm>
                      <a:prstGeom prst="rect"/>
                      <a:solidFill>
                        <a:srgbClr val="FFFFFF">
                          <a:alpha val="0"/>
                        </a:srgbClr>
                      </a:solidFill>
                    </wps:spPr>
                    <wps:txbx>
                      <w:txbxContent>
                        <w:p>
                          <w:pPr>
                            <w:pStyle w:val="Cabealho"/>
                            <w:pBdr/>
                            <w:rPr/>
                          </w:pPr>
                          <w:r>
                            <w:rPr>
                              <w:rStyle w:val="Pagenumber"/>
                            </w:rPr>
                            <w:fldChar w:fldCharType="begin"/>
                          </w:r>
                          <w:r>
                            <w:rPr>
                              <w:rStyle w:val="Pagenumber"/>
                            </w:rPr>
                            <w:instrText> PAGE </w:instrText>
                          </w:r>
                          <w:r>
                            <w:rPr>
                              <w:rStyle w:val="Pagenumber"/>
                            </w:rPr>
                            <w:fldChar w:fldCharType="separate"/>
                          </w:r>
                          <w:r>
                            <w:rPr>
                              <w:rStyle w:val="Pagenumber"/>
                            </w:rPr>
                            <w:t>9</w:t>
                          </w:r>
                          <w:r>
                            <w:rPr>
                              <w:rStyle w:val="Pagenumber"/>
                            </w:rPr>
                            <w:fldChar w:fldCharType="end"/>
                          </w:r>
                        </w:p>
                      </w:txbxContent>
                    </wps:txbx>
                    <wps:bodyPr anchor="t" lIns="0" tIns="0" rIns="0" bIns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fillcolor="#FFFFFF" style="position:absolute;rotation:0;width:6.05pt;height:13.8pt;mso-wrap-distance-left:0pt;mso-wrap-distance-right:0pt;mso-wrap-distance-top:0pt;mso-wrap-distance-bottom:0pt;margin-top:0.05pt;mso-position-vertical-relative:text;margin-left:419.15pt;mso-position-horizontal:right;mso-position-horizontal-relative:margin">
              <v:fill opacity="0f"/>
              <v:textbox inset="0in,0in,0in,0in">
                <w:txbxContent>
                  <w:p>
                    <w:pPr>
                      <w:pStyle w:val="Cabealho"/>
                      <w:pBdr/>
                      <w:rPr/>
                    </w:pPr>
                    <w:r>
                      <w:rPr>
                        <w:rStyle w:val="Pagenumber"/>
                      </w:rPr>
                      <w:fldChar w:fldCharType="begin"/>
                    </w:r>
                    <w:r>
                      <w:rPr>
                        <w:rStyle w:val="Pagenumber"/>
                      </w:rPr>
                      <w:instrText> PAGE </w:instrText>
                    </w:r>
                    <w:r>
                      <w:rPr>
                        <w:rStyle w:val="Pagenumber"/>
                      </w:rPr>
                      <w:fldChar w:fldCharType="separate"/>
                    </w:r>
                    <w:r>
                      <w:rPr>
                        <w:rStyle w:val="Pagenumber"/>
                      </w:rPr>
                      <w:t>9</w:t>
                    </w:r>
                    <w:r>
                      <w:rPr>
                        <w:rStyle w:val="Pagenumber"/>
                      </w:rPr>
                      <w:fldChar w:fldCharType="end"/>
                    </w:r>
                  </w:p>
                </w:txbxContent>
              </v:textbox>
              <w10:wrap type="square" side="largest"/>
            </v:rect>
          </w:pict>
        </mc:Fallback>
      </mc:AlternateContent>
    </w:r>
  </w:p>
  <w:p>
    <w:pPr>
      <w:pStyle w:val="Cabealho"/>
      <w:ind w:right="360" w:hanging="0"/>
      <w:jc w:val="right"/>
      <w:rPr>
        <w:b/>
        <w:b/>
        <w:sz w:val="20"/>
      </w:rPr>
    </w:pPr>
    <w:r>
      <w:rPr>
        <w:b/>
        <w:sz w:val="20"/>
      </w:rPr>
      <w:t>HC nº 2000.02.01.058741-6</w:t>
    </w:r>
  </w:p>
</w:hdr>
</file>

<file path=word/settings.xml><?xml version="1.0" encoding="utf-8"?>
<w:settings xmlns:w="http://schemas.openxmlformats.org/wordprocessingml/2006/main">
  <w:zoom w:percent="100"/>
  <w:embedSystemFonts/>
  <w:defaultTabStop w:val="708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hyphenationZone w:val="425"/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uiPriority="99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uiPriority="99" w:semiHidden="1" w:unhideWhenUsed="1"/>
    <w:lsdException w:name="Smart Hyperlink" w:uiPriority="99" w:semiHidden="1" w:unhideWhenUsed="1"/>
    <w:lsdException w:name="Hashtag" w:uiPriority="99" w:semiHidden="1" w:unhideWhenUsed="1"/>
    <w:lsdException w:name="Unresolved Mention" w:uiPriority="99" w:semiHidden="1" w:unhideWhenUsed="1"/>
    <w:lsdException w:name="Smart Link" w:uiPriority="99" w:semiHidden="1" w:unhideWhenUsed="1"/>
  </w:latentStyles>
  <w:style w:type="paragraph" w:styleId="Normal" w:default="1">
    <w:name w:val="Normal"/>
    <w:qFormat/>
    <w:pPr>
      <w:widowControl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>
    <w:name w:val="Heading 1"/>
    <w:basedOn w:val="Normal"/>
    <w:next w:val="Normal"/>
    <w:qFormat/>
    <w:pPr>
      <w:keepNext w:val="true"/>
      <w:jc w:val="both"/>
      <w:outlineLvl w:val="0"/>
    </w:pPr>
    <w:rPr>
      <w:b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Pagenumber">
    <w:name w:val="page number"/>
    <w:basedOn w:val="DefaultParagraphFont"/>
    <w:qFormat/>
    <w:rPr/>
  </w:style>
  <w:style w:type="character" w:styleId="RodapChar" w:customStyle="1">
    <w:name w:val="Rodapé Char"/>
    <w:link w:val="Rodap"/>
    <w:uiPriority w:val="99"/>
    <w:qFormat/>
    <w:rsid w:val="00c91683"/>
    <w:rPr>
      <w:sz w:val="24"/>
    </w:rPr>
  </w:style>
  <w:style w:type="character" w:styleId="CitaoIntensaChar" w:customStyle="1">
    <w:name w:val="Citação Intensa Char"/>
    <w:basedOn w:val="DefaultParagraphFont"/>
    <w:link w:val="CitaoIntensa"/>
    <w:uiPriority w:val="30"/>
    <w:qFormat/>
    <w:rsid w:val="00c91683"/>
    <w:rPr>
      <w:rFonts w:ascii="Tahoma" w:hAnsi="Tahoma"/>
      <w:b/>
      <w:iCs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jc w:val="both"/>
    </w:pPr>
    <w:rPr/>
  </w:style>
  <w:style w:type="paragraph" w:styleId="Lista">
    <w:name w:val="List"/>
    <w:basedOn w:val="Corpodotexto"/>
    <w:pPr/>
    <w:rPr>
      <w:rFonts w:cs="Lucida Sans"/>
    </w:rPr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>
    <w:name w:val="Índice"/>
    <w:basedOn w:val="Normal"/>
    <w:qFormat/>
    <w:pPr>
      <w:suppressLineNumbers/>
    </w:pPr>
    <w:rPr>
      <w:rFonts w:cs="Lucida Sans"/>
    </w:rPr>
  </w:style>
  <w:style w:type="paragraph" w:styleId="CabealhoeRodap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Rodap">
    <w:name w:val="Footer"/>
    <w:basedOn w:val="Normal"/>
    <w:link w:val="RodapChar"/>
    <w:uiPriority w:val="99"/>
    <w:pPr>
      <w:tabs>
        <w:tab w:val="clear" w:pos="708"/>
        <w:tab w:val="center" w:pos="4419" w:leader="none"/>
        <w:tab w:val="right" w:pos="8838" w:leader="none"/>
      </w:tabs>
    </w:pPr>
    <w:rPr/>
  </w:style>
  <w:style w:type="paragraph" w:styleId="BodyText2">
    <w:name w:val="Body Text 2"/>
    <w:basedOn w:val="Normal"/>
    <w:qFormat/>
    <w:pPr>
      <w:jc w:val="both"/>
    </w:pPr>
    <w:rPr>
      <w:sz w:val="23"/>
    </w:rPr>
  </w:style>
  <w:style w:type="paragraph" w:styleId="IntenseQuote">
    <w:name w:val="Intense Quote"/>
    <w:basedOn w:val="Normal"/>
    <w:next w:val="Normal"/>
    <w:link w:val="CitaoIntensaChar"/>
    <w:uiPriority w:val="30"/>
    <w:qFormat/>
    <w:rsid w:val="00c91683"/>
    <w:pPr>
      <w:pBdr>
        <w:top w:val="single" w:sz="4" w:space="10" w:color="4472C4"/>
        <w:bottom w:val="single" w:sz="4" w:space="10" w:color="4472C4"/>
      </w:pBdr>
      <w:spacing w:before="360" w:after="360"/>
      <w:ind w:left="864" w:right="864" w:hanging="0"/>
    </w:pPr>
    <w:rPr>
      <w:rFonts w:ascii="Tahoma" w:hAnsi="Tahoma"/>
      <w:b/>
      <w:iCs/>
      <w:sz w:val="20"/>
    </w:rPr>
  </w:style>
  <w:style w:type="paragraph" w:styleId="NormalWeb">
    <w:name w:val="Normal (Web)"/>
    <w:basedOn w:val="Normal"/>
    <w:uiPriority w:val="99"/>
    <w:unhideWhenUsed/>
    <w:qFormat/>
    <w:rsid w:val="00c91683"/>
    <w:pPr>
      <w:spacing w:beforeAutospacing="1" w:afterAutospacing="1"/>
    </w:pPr>
    <w:rPr>
      <w:szCs w:val="24"/>
    </w:rPr>
  </w:style>
  <w:style w:type="paragraph" w:styleId="Contedodoquadro">
    <w:name w:val="Conteúdo do quadro"/>
    <w:basedOn w:val="Normal"/>
    <w:qFormat/>
    <w:pPr/>
    <w:rPr/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footer" Target="foot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A02C43F-1315-4A3C-BA7D-C6E79C0D81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LibreOffice/6.4.2.2$Windows_X86_64 LibreOffice_project/4e471d8c02c9c90f512f7f9ead8875b57fcb1ec3</Application>
  <Pages>9</Pages>
  <Words>2124</Words>
  <Characters>11156</Characters>
  <CharactersWithSpaces>13259</CharactersWithSpaces>
  <Paragraphs>74</Paragraphs>
  <Company>PRR/2a Regiao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2019-10-09T19:23:00Z</dcterms:created>
  <dc:creator>Procuradoria Geral da Republica</dc:creator>
  <dc:description/>
  <cp:keywords>HABEAS CORPUS. LEI 7492/86 ART 5 E LEI 8212/91 ART. 95 D §§ 1 E 3. NÃO RECOLHIMENTO DE CONTRIBUIÇÕES PREVIDENCIÁRIAS </cp:keywords>
  <dc:language>pt-BR</dc:language>
  <cp:lastModifiedBy/>
  <cp:lastPrinted>2000-11-09T22:57:00Z</cp:lastPrinted>
  <dcterms:modified xsi:type="dcterms:W3CDTF">2020-04-15T18:53:11Z</dcterms:modified>
  <cp:revision>4</cp:revision>
  <dc:subject>HABEAS CORPUS. LEI 7492/86 ART. 5 E LEI 8212/91 ART. 95, D, §§ 1 E 3. NÃO RECOLHIMENTO DE CONTRIBUIÇÕES PREVIDENCIÁRIAS</dc:subject>
  <dc:title>TRIBUNAL REGIONAL FEDERAL DA 2ª REGIÃO – 3ª TURMA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PRR/2a Regiao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