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TRIBUNAL REGIONAL FEDERAL DA 00ª REGIÃO – 00ª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  <w:t>HABEAS CORPUS Nº 0000000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IMPETRANTE</w:t>
        <w:tab/>
        <w:t>: NOME DO IMPETRANTE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IMPETRADO</w:t>
        <w:tab/>
        <w:t xml:space="preserve">: </w:t>
      </w:r>
      <w:r>
        <w:rPr>
          <w:rFonts w:cs="Tahoma" w:ascii="Tahoma" w:hAnsi="Tahoma"/>
          <w:b/>
          <w:szCs w:val="24"/>
        </w:rPr>
        <w:t>JUÍZO FEDERAL DA 00ª VARA FEDERAL CRIMINAL DO TAL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PACIENTE</w:t>
        <w:tab/>
        <w:t xml:space="preserve">: </w:t>
      </w:r>
      <w:r>
        <w:rPr>
          <w:rFonts w:cs="Tahoma" w:ascii="Tahoma" w:hAnsi="Tahoma"/>
          <w:b/>
          <w:szCs w:val="24"/>
        </w:rPr>
        <w:t>NOME DO PACIENTE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RELATOR</w:t>
        <w:tab/>
        <w:t xml:space="preserve">: </w:t>
      </w:r>
      <w:r>
        <w:rPr>
          <w:rFonts w:cs="Tahoma" w:ascii="Tahoma" w:hAnsi="Tahoma"/>
          <w:b/>
          <w:szCs w:val="24"/>
        </w:rPr>
        <w:t>DES. FULANO DE TAL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Egrégia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A advogada impetrou habeas corpus em favor de contra ato do </w:t>
      </w:r>
      <w:r>
        <w:rPr>
          <w:rFonts w:cs="Tahoma" w:ascii="Tahoma" w:hAnsi="Tahoma"/>
          <w:b/>
          <w:szCs w:val="24"/>
        </w:rPr>
        <w:t xml:space="preserve">JUÍZO FEDERAL DA 00ª VARA FEDERAL CRIMINAL TAL </w:t>
      </w:r>
      <w:r>
        <w:rPr>
          <w:rFonts w:cs="Tahoma" w:ascii="Tahoma" w:hAnsi="Tahoma"/>
          <w:szCs w:val="24"/>
        </w:rPr>
        <w:t>pelas razões que seguem: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Ministério Público Federal ofereceu denúncia contra o paciente, pela prática do crime tipificado no art. 171, §3º c/c art. 71, ambos do Código Penal.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sentença proferida no Juízo da 00ª Vara Federal/UF julgou procedente a pretensão punitiva, condenando o acusado à pena de três anos, um mês e dez dias de reclusão, em regime semi-aberto.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Como o paciente se encontra preso desde a data do flagrante, DIA/MÊS/ANO, já cumpriu quase a integralidade da pena em regime fechado, uma vez que o direito de recorrer em liberdade foi negado.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Julgado o recurso em DIA/MÊS/ANO, foi mantida a condenação, em decisão assim ementada (a decisão não consta dos autos – foi obtida no site www.trf2.gov.br.):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566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PENAL-ESTELIONATO-CRIME CONTINUADO.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 - Autoria e materialidade comprovadas pela flagrância do delito e por ampla instrução processual.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II - Correta a dosimetria da pena face às circunstâncias do delito e das condições pessoais do apenado.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III - Sentença mantida.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(TRF – 2ª Região – 1ª Turma – AC Nº 0008.0211184-8 – Rel. JUIZ NEY FONSECA –  Julg.: 06/10/0008)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Requer, por fim, a expedição de alvará de soltura em favor do paciente, por ter cumprido o lapso necessário para o livramento condicional.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Às fls. 00, o relator negou o pedido de liminar, “já que sem fundamento fático e jurídico”.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Vieram aos autos as informações de fls. 00/00, a sustentar “a manifesta ilegitimidade da autoridade apontada como coatora, tendo em vista que a concessão do benefício de livramento condicional compete ao juízo da Vara de Execuções Penais”.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o relatório.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Cumpre, antes de tudo, de que concorreram, na espécie, relevantes motivos para manter-se o réu preso cautelarmente durante a fase recursal.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art. 50004 do Código de Processo Penal assegura o direito de aguardar em liberdade o julgamento do recurso apenas ao réu “primário e de bons antecedentes”.  Não é esse, contudo, o caso dos autos, já que, apesar de tecnicamente primário, a FAC do paciente registra seis anotações.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Além disso, a decretação da prisão preventiva está condicionada à ocorrência de pelo menos uma das circunstâncias previstas no art. 312 do Código de Processo Penal:  garantia da ordem pública, da ordem econômica, conveniência da instrução criminal, necessidade de assegurar a aplicação da lei penal.  Uma vez decretada, o art. 316 condiciona sua revogação à insubsistência da circunstância que a motivou.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No caso concreto, a denúncia imputou ao paciente a prática do crime de estelionato, na forma continuada.  Foi ele preso em flagrante por adulterar cheques de procedência desconhecida, sacando o valor depositado de uma caderneta de poupança aberta em seu nome.  Valeu-se o réu – fique o registro – de nome falso durante a instrução criminal (prova disso é a sentença anexada às fls. 00, em que o ora paciente é referido como BELTRANO) e mesmo no recurso de apelação que interpôs.  Nos autos do </w:t>
      </w:r>
      <w:r>
        <w:rPr>
          <w:rFonts w:cs="Tahoma" w:ascii="Tahoma" w:hAnsi="Tahoma"/>
          <w:b/>
          <w:szCs w:val="24"/>
        </w:rPr>
        <w:t>HC</w:t>
      </w:r>
      <w:r>
        <w:rPr>
          <w:rFonts w:cs="Tahoma" w:ascii="Tahoma" w:hAnsi="Tahoma"/>
          <w:szCs w:val="24"/>
        </w:rPr>
        <w:t xml:space="preserve"> </w:t>
      </w:r>
      <w:r>
        <w:rPr>
          <w:rFonts w:cs="Tahoma" w:ascii="Tahoma" w:hAnsi="Tahoma"/>
          <w:b/>
          <w:szCs w:val="24"/>
        </w:rPr>
        <w:t xml:space="preserve">00000, </w:t>
      </w:r>
      <w:r>
        <w:rPr>
          <w:rFonts w:cs="Tahoma" w:ascii="Tahoma" w:hAnsi="Tahoma"/>
          <w:szCs w:val="24"/>
        </w:rPr>
        <w:t xml:space="preserve"> no qual eu mesmo oficiei, o Juízo da 25ª Vara Federal prestou as seguintes informações: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“</w:t>
      </w:r>
      <w:r>
        <w:rPr>
          <w:rFonts w:cs="Tahoma" w:ascii="Tahoma" w:hAnsi="Tahoma"/>
          <w:szCs w:val="24"/>
        </w:rPr>
        <w:t>... a propósito de ocultar sua verdadeira identidade mostrou-se claro após ter sido proferida a sentença, qual seja, não permitir que se apurasse a existência de antecedentes criminais do paciente (fls. 265/267), com imputações de estelionato, receptação, furto, falsificação e uso de documento falso, enfim, uma série de delitos.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Nesta data, foi proferido despacho ordenando a retificação da autuação, registro e distribuição para o nome do paciente, tendo em vista a descoberta da real identidade do mesmo, além de determinação de extração de peças para encaminhamento ao MPF, considerando a existência de indícios de outras práticas delitivas, como falsificação de documentos públicos, falsidade ideológica, dentre outras.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Verifica-se, pois, que o paciente apresenta péssimos antecedentes criminais, tendo personalidade voltada ao delito, não podendo ser aceitos argumentos em contrário, diante do acima informado”.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Todos esses fatos –  a alteração do nome do acusado, para evitar que se descobrisse a reiteração da atividade delitiva e o acesso à sua verdadeira folha de antecedentes criminais – recomendavam fosse mantida sua prisão, como medida de garantia da ordem pública.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verdade, por outro lado, que o habeas corpus deveria ter em seu pólo passivo o Juízo de Execuções Penais, como sustentando nas informações de fls. 00/00.  É o que se colhe da ementa que passo a trancrever: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RHC. EXECUÇÃO. QUESTÕES NÃO SUSCITADAS EM 2º GRAU. NÃO-CONHECIMENTO.  LIVRAMENTO CONDICIONAL. COMPETÊNCIA DO JUÍZO DE EXECUÇÕES.  IMPROPRIEDADE DA VIA ELEITA. DEMORA NA APRECIAÇÃO DO BENEFÍCIO JUSTIFICADA. RECURSO CONHECIDO EM PARTE E, NESTA,  DESPROVIDO.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I. É defeso o conhecimento de alegações não levantadas perante o Tribunal a quo, sob pena de indevida supressão de instância.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II. O pedido de livramento condicional deve ser dirigido ao Juízo de Execuções, competente para o seu conhecimento, nos termos da Lei de Execução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III. O habeas corpus é meio impróprio para a obtenção de benefício relativo à execução da pena, tendo em vista a dilação probatória que se faz necessária ao seu exame.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IV. Não se configura como constrangimento ilegal eventual demora na apreciação do requerimento de incidente de execução, se a mesma é decorrente de evasões do réu e da realização de diligências normais e necessárias no curso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V. Recurso conhecido em parte e, nesta, desprovido.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(STJ – 5ª Turma – RECURSO ORDINARIO EM HC  8216/RJ – Decisão: 13-04-2012 – Rel. GILSON DIPP)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Também a apontar no sentido do não conhecimento do presente habeas corpus, a insuficiência dos elementos que instruíram a inicial, cuja inconsistência chega às raias da inépcia.</w:t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Inexiste, nos autos, qualquer  prova de ato que possa configurar constrangimento ilegal à liberdade do paciente, ou que permita a verificação do cumprimento dos requisitos subjetivos indispensáveis à obtenção do benefício.  Sem essa prova mínima, reiteradamente exigida pelo Superior Tribunal de Justiça, não há como conhecer do habeas corpus.  É conferir: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HABEAS CORPUS. PROGRESSÃO DE REGIME DE CUMPRIMENTO DE PENA. EXCEPCIONAL CABIMENTO DO WRIT. REQUISITOS OBJETIVOS E SUBJETIVOS JÁ SATISFEITOS. CONSTRANGIMENTO ILEGAL CONFIGURADO, DE PLANO.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Não constando da impetração o v. acórdão a quo que indeferiu a pretensão do livramento condicional, torna-se inviável o conhecimento do writ sob esse enfoque.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Configura-se constrangimento ilegal, sanável por meio de habeas corpus, o indeferimento de pedido de progressão de regime, quando, pela análise dos autos, verifica-se, de plano, que o apenado já satisfaz os requisitos de ordem objetiva e subjetiva, não havendo que se falar em exame aprofundado de provas.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Hipótese dos autos em que, além de preenchidos os requisitos objetivos, detém o apenado ótimo comportamento carcerário atestado pela Diretoria da Penitenciária em que cumpre pena, inclusive com parecer favorável em exame criminológico.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Ordem de habeas corpus parcialmente conhecida e nessa parte concedida, para deferir-se ao paciente o regime semi-aberto.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(STJ – 5ª Turma – HC 8360/SP –Decisão:  20-05-2012 – Rel. JOSÉ ARNALDO DA FONSECA)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 exposto, o parecer é no sentido do não conhecimento do habeas corpus ; caso conhecido, pela denegação da ordem.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OAB Nº</w:t>
      </w:r>
      <w:bookmarkStart w:id="0" w:name="_Hlk19878861"/>
      <w:bookmarkEnd w:id="0"/>
    </w:p>
    <w:p>
      <w:pPr>
        <w:pStyle w:val="Normal"/>
        <w:rPr/>
      </w:pPr>
      <w:r>
        <w:rPr/>
      </w:r>
      <w:bookmarkStart w:id="1" w:name="_Hlk21008845"/>
      <w:bookmarkStart w:id="2" w:name="_Hlk21008845"/>
      <w:bookmarkEnd w:id="2"/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91" w:top="1417" w:footer="851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5" w:name="_Hlk18660203"/>
    <w:bookmarkStart w:id="6" w:name="_Hlk18660203"/>
    <w:bookmarkEnd w:id="6"/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3" w:name="_Hlk19040810"/>
    <w:bookmarkStart w:id="4" w:name="_Hlk19040810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RodapChar" w:customStyle="1">
    <w:name w:val="Rodapé Char"/>
    <w:link w:val="Rodap"/>
    <w:uiPriority w:val="99"/>
    <w:qFormat/>
    <w:rsid w:val="00063b6e"/>
    <w:rPr>
      <w:sz w:val="24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063b6e"/>
    <w:rPr>
      <w:i/>
      <w:iCs/>
      <w:color w:val="404040" w:themeColor="text1" w:themeTint="bf"/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63b6e"/>
    <w:rPr>
      <w:i/>
      <w:iCs/>
      <w:color w:val="4472C4" w:themeColor="accent1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taderodap">
    <w:name w:val="Footnote Text"/>
    <w:basedOn w:val="Normal"/>
    <w:semiHidden/>
    <w:pPr/>
    <w:rPr>
      <w:sz w:val="20"/>
    </w:rPr>
  </w:style>
  <w:style w:type="paragraph" w:styleId="BlockText">
    <w:name w:val="Block Text"/>
    <w:basedOn w:val="Normal"/>
    <w:qFormat/>
    <w:pPr>
      <w:ind w:left="2835" w:right="566" w:hanging="0"/>
      <w:jc w:val="both"/>
    </w:pPr>
    <w:rPr>
      <w:sz w:val="18"/>
    </w:rPr>
  </w:style>
  <w:style w:type="paragraph" w:styleId="Corpodotextorecuado">
    <w:name w:val="Body Text Indent"/>
    <w:basedOn w:val="Normal"/>
    <w:pPr>
      <w:ind w:left="2268" w:hanging="0"/>
      <w:jc w:val="both"/>
    </w:pPr>
    <w:rPr>
      <w:sz w:val="22"/>
    </w:rPr>
  </w:style>
  <w:style w:type="paragraph" w:styleId="BodyText2">
    <w:name w:val="Body Text 2"/>
    <w:basedOn w:val="Normal"/>
    <w:qFormat/>
    <w:pPr>
      <w:jc w:val="both"/>
    </w:pPr>
    <w:rPr>
      <w:b/>
      <w:sz w:val="20"/>
    </w:rPr>
  </w:style>
  <w:style w:type="paragraph" w:styleId="BodyText3">
    <w:name w:val="Body Text 3"/>
    <w:basedOn w:val="Normal"/>
    <w:qFormat/>
    <w:pPr>
      <w:jc w:val="both"/>
    </w:pPr>
    <w:rPr>
      <w:b/>
    </w:rPr>
  </w:style>
  <w:style w:type="paragraph" w:styleId="Quote">
    <w:name w:val="Quote"/>
    <w:basedOn w:val="Normal"/>
    <w:next w:val="Normal"/>
    <w:link w:val="CitaoChar"/>
    <w:uiPriority w:val="29"/>
    <w:qFormat/>
    <w:rsid w:val="00063b6e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63b6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063b6e"/>
    <w:pPr>
      <w:spacing w:beforeAutospacing="1" w:afterAutospacing="1"/>
    </w:pPr>
    <w:rPr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8</Pages>
  <Words>1359</Words>
  <Characters>7256</Characters>
  <CharactersWithSpaces>8587</CharactersWithSpaces>
  <Paragraphs>64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2019-10-09T19:43:00Z</dcterms:created>
  <dc:creator>Divisao de Informatica</dc:creator>
  <dc:description/>
  <cp:keywords>HABEAS CORPUS. TÓXICOS. ANULAÇÃO SENTENÇA. COISA JULGADA</cp:keywords>
  <dc:language>pt-BR</dc:language>
  <cp:lastModifiedBy/>
  <cp:lastPrinted>2000-02-19T19:27:00Z</cp:lastPrinted>
  <dcterms:modified xsi:type="dcterms:W3CDTF">2020-04-15T18:52:59Z</dcterms:modified>
  <cp:revision>4</cp:revision>
  <dc:subject>HABEAS CORPUS. TOXICOS. ANULAÇÃO SENTENÇA. COISA JULGADA</dc:subject>
  <dc:title>TRIBUNAL REGIONAL FEDERAL DA 2ª REGIÃO - PRIMEIRA TURMA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