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  <w:t>EXMO. SR. DESEMBARGADOR SEGUNDO VICE-PRESIDENTE DO TRIBUNAL DE JUSTIÇA DO ESTADO TAL</w:t>
      </w:r>
    </w:p>
    <w:p>
      <w:pPr>
        <w:pStyle w:val="Ttulododocumento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Ttulododocumento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Ttulododocumento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ADRIANA, Defensora, lotada na VEP, matriculada  sob o nº 83635000-0, e SERGIO, Estagiário, em exercício na Vara de Execuções Penais, vem,  com fundamento no inciso LXVIII, do artigo 5</w:t>
      </w:r>
      <w:r>
        <w:rPr>
          <w:rFonts w:cs="Tahoma" w:ascii="Tahoma" w:hAnsi="Tahoma"/>
          <w:b w:val="false"/>
          <w:bCs w:val="false"/>
          <w:vertAlign w:val="superscript"/>
        </w:rPr>
        <w:t>o</w:t>
      </w:r>
      <w:r>
        <w:rPr>
          <w:rFonts w:cs="Tahoma" w:ascii="Tahoma" w:hAnsi="Tahoma"/>
          <w:b w:val="false"/>
          <w:bCs w:val="false"/>
        </w:rPr>
        <w:t>, da Constituição Federal, e nos artigos 647 e 648, inciso I, do Código de Processo Penal, vem requerer ordem de</w:t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</w:rPr>
        <w:t>HABEAS-CORPUS (com pedido de liminar)</w:t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em favor de JERÔNIMO, brasileiro, solteiro, portador da carteira de identidade n</w:t>
      </w:r>
      <w:r>
        <w:rPr>
          <w:rFonts w:cs="Tahoma" w:ascii="Tahoma" w:hAnsi="Tahoma"/>
          <w:b w:val="false"/>
          <w:bCs w:val="false"/>
          <w:vertAlign w:val="superscript"/>
        </w:rPr>
        <w:t>o</w:t>
      </w:r>
      <w:r>
        <w:rPr>
          <w:rFonts w:cs="Tahoma" w:ascii="Tahoma" w:hAnsi="Tahoma"/>
          <w:b w:val="false"/>
          <w:bCs w:val="false"/>
        </w:rPr>
        <w:t>, expedida pelo IFP,  submetido à coação ilegal resultante de decisão do MM. Juízo da Vara de Execuções Penais, ora nomeado, para fins de direito, autoridade coatora, que, nos autos do processo n</w:t>
      </w:r>
      <w:r>
        <w:rPr>
          <w:rFonts w:cs="Tahoma" w:ascii="Tahoma" w:hAnsi="Tahoma"/>
          <w:b w:val="false"/>
          <w:bCs w:val="false"/>
          <w:vertAlign w:val="superscript"/>
        </w:rPr>
        <w:t>o</w:t>
      </w:r>
      <w:r>
        <w:rPr>
          <w:rFonts w:cs="Tahoma" w:ascii="Tahoma" w:hAnsi="Tahoma"/>
          <w:b w:val="false"/>
          <w:bCs w:val="false"/>
        </w:rPr>
        <w:t xml:space="preserve"> 2012/11700-2, suspendeu livramento condicional, inobservando o disposto no art. 0000, do Código Penal, pelos fundamentos a seguir aduzidos:</w:t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O paciente foi condenado como incurso nas sanções do art. 157, caput, do Código Penal, à pena de 04 (quatro) anos, de reclusão.</w:t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Observa-se que lhe foi concedido o benefício do livramento condicional em 25/0000/2012, conforme consta em doc. anexo (fl.62)</w:t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Após decorrido dois meses do deferimento do L.C, o apenado foi preso em flagrante delito por suposta prática da conduta tipificada no art. 16 da Lei 6.368/76, conforme fl. 120.</w:t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Sendo assim, o paciente encontrava-se custodiado na Polinter/RJ, eis que o apenado foi preso em flagrante delito, conforme consta fls.120 em anexo.</w:t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Assim, após terminada a ação penal, foi enviado para VEP, um ofício a fim de comunicar que o apenado havia sido condenado pela prática de novo delito (art. 16, da Lei 6.368).</w:t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Com a descoberto deste fato, o representante do Parquet em vez de requerer a aplicação do artigo 0000 do CP, opinou contrariamente a extinção da pena e requereu a suspensão do LC face o cometimento de crime durante o período de prova, conforme fl.148.</w:t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Fato este que infelizmente levou o ilustre autoridade coatora a incidir em equivoco e suspender o livramento condicional.</w:t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ind w:firstLine="2148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Ocorre que, consoante se verifica do cálculo de pena, o término do período de prova do livramento condicional já havia ocorrido.</w:t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Destarte, encontra-se extinta a pena, nos termos do art. 0000, do Código Penal, não mais se fazendo possível a aplicação do disposto no art. 145, da Lei de Execução Penal.</w:t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Ressalte-se que a revogação e a suspensão do livramento condicional demandam expressa decisão judicial, não se operando automaticamente e que o próprio juízo a quo admite o término do período de prova par eventual revogação.</w:t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Se a revogação ou a suspensão não é determinada no curso do prazo do livramento condicional, dá-se o término da pena, nos exatos termos do art. 0000, do Código Penal.</w:t>
      </w:r>
    </w:p>
    <w:p>
      <w:pPr>
        <w:pStyle w:val="Ttulo3"/>
        <w:rPr>
          <w:rFonts w:ascii="Tahoma" w:hAnsi="Tahoma" w:cs="Tahoma"/>
          <w:b w:val="false"/>
          <w:b w:val="false"/>
          <w:bCs w:val="false"/>
          <w:sz w:val="24"/>
        </w:rPr>
      </w:pPr>
      <w:r>
        <w:rPr>
          <w:rFonts w:cs="Tahoma" w:ascii="Tahoma" w:hAnsi="Tahoma"/>
          <w:b w:val="false"/>
          <w:bCs w:val="false"/>
          <w:sz w:val="24"/>
        </w:rPr>
      </w:r>
    </w:p>
    <w:p>
      <w:pPr>
        <w:pStyle w:val="Ttulo3"/>
        <w:rPr>
          <w:rFonts w:ascii="Tahoma" w:hAnsi="Tahoma" w:cs="Tahoma"/>
          <w:b w:val="false"/>
          <w:b w:val="false"/>
          <w:bCs w:val="false"/>
          <w:sz w:val="24"/>
        </w:rPr>
      </w:pPr>
      <w:r>
        <w:rPr>
          <w:rFonts w:cs="Tahoma" w:ascii="Tahoma" w:hAnsi="Tahoma"/>
          <w:b w:val="false"/>
          <w:bCs w:val="false"/>
          <w:sz w:val="24"/>
        </w:rPr>
        <w:t>ARTIGO 0000 DO CP</w:t>
      </w:r>
    </w:p>
    <w:p>
      <w:pPr>
        <w:pStyle w:val="BodyText2"/>
        <w:ind w:firstLine="1440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ind w:firstLine="2148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Divergem a doutrina e a jurisprudência a respeito. Para uns a simples expiração do prazo sem revogação, por si só nada significa, não induzindo direito adquirido. Para outros, superado o período probatório, sem sobrevinda de causa revogatória da medida, seja por inocorrência ou por desconhecimento desta, operou-se a pronta extinção da pena, tomando-a inexeqüível.</w:t>
      </w:r>
    </w:p>
    <w:p>
      <w:pPr>
        <w:pStyle w:val="Normal"/>
        <w:ind w:firstLine="108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144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Comunga a defesa da segunda posição, em que pese reconheça a medida de livramento condicional como subordinada a uma condição resolutiva, a qual implementada suspende os seus efeitos. Inobstante é preciso que a ocorrência da condição se dentro do período de prova, ou que o mesmo tenha sido prorrogado, e mais, que o conhecimento da causa revogatória tenha se dado durante o mesmo, ultrapassado este, nada resta a fazer senão declarar a extinção da pena.</w:t>
      </w:r>
    </w:p>
    <w:p>
      <w:pPr>
        <w:pStyle w:val="Normal"/>
        <w:ind w:firstLine="144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214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214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214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A letra da lei é precisa, a única condição imposta é que a medida não tenha sido revogada dentro do período de prova. O que não se pode admitir é a possibilidade de suspensão ou revogação do LC a qualquer tempo, mesmo vencido o período de prova. Admitindo-se tal hipótese a liberdade individual estaria sempre em risco, contrariando o fim da prestação jurisdicional, que é a garantia da certeza das relações jurídicas, deixando em aberto a exeqüibilidade da pena, que diante de lapso temporal transcorrido, já pode ter-se tornado desajustada ou desatualizada.</w:t>
      </w:r>
    </w:p>
    <w:p>
      <w:pPr>
        <w:pStyle w:val="Normal"/>
        <w:ind w:firstLine="108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ind w:firstLine="2160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Certo é que a norma contida no art. 86, I, do Código Penal, estabelece a obrigatoriedade de revogação do livramento condicional, se cometido novo delito no curso do período de prova.</w:t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É cediço, também, que, na pendência de processo criminal, cumpre ao juiz da execução suspender o curso do livramento condicional, nos termos do art. 144, da Lei de Execução Penal, decisão que obsta o escoamento de seu período de prova, e, portanto, o término da pena.</w:t>
      </w:r>
    </w:p>
    <w:p>
      <w:pPr>
        <w:pStyle w:val="Corpodotexto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Entretanto, somente a suspensão durante o período de prova obstaria o escoamento do período probatório.</w:t>
      </w:r>
    </w:p>
    <w:p>
      <w:pPr>
        <w:pStyle w:val="Normal"/>
        <w:ind w:firstLine="178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178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Ora, na hipótese dos autos, a suspensão do livramento condicional se deu alguns meses após findo o período de provas (30/06/2012).</w:t>
      </w:r>
    </w:p>
    <w:p>
      <w:pPr>
        <w:pStyle w:val="Normal"/>
        <w:ind w:firstLine="108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ind w:firstLine="144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Desta forma, houve inércia na gestão processual e administrativa do Estado.  Fato é que não se pode SUSPENDER o que já terminou!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214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Em que pese o notório acúmulo de serviço na vara de execuções, o que dificulta a fiscalização contínua do LC, não pode a máquina judiciária, vênia concessa, transpor à liberdade, atingindo o Egresso por suspensão ou revogação a posteriori.</w:t>
      </w:r>
    </w:p>
    <w:p>
      <w:pPr>
        <w:pStyle w:val="Corpodotexto"/>
        <w:tabs>
          <w:tab w:val="clear" w:pos="708"/>
          <w:tab w:val="left" w:pos="0" w:leader="none"/>
        </w:tabs>
        <w:ind w:firstLine="1440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Corpodotexto"/>
        <w:tabs>
          <w:tab w:val="clear" w:pos="708"/>
          <w:tab w:val="left" w:pos="0" w:leader="none"/>
        </w:tabs>
        <w:ind w:firstLine="1440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Neste sentido, confira-se a recente decisão do Supremo Tribunal Federal, que, por sua clareza e precisão técnica, decerto virá a por termo na controvérsia jurisprudencial acerca do tema: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“</w:t>
      </w:r>
      <w:r>
        <w:rPr>
          <w:rFonts w:cs="Tahoma" w:ascii="Tahoma" w:hAnsi="Tahoma"/>
          <w:sz w:val="24"/>
        </w:rPr>
        <w:t>Livramento condicional: extinção da pena com termo final do prazo, se antes dele, não suspenso o seu curso nem revogado o benefício.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1. É compulsória a revogação do livramento condicional se o liberado é condenado mediante sentença irrecorrível a pena privativa de liberdade por crime cometido durante a vigência do benefício (CPen, art. 86, I).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2. Para obstar, não obstante, a extinção da pena, pelo livramento condicional sem decisão judicial que o revogue, a solução legal exclusiva é a medida cautelar de suspensão do seu curso (C. Pr. Pen., art. 732; LEP, art. 145).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3. Não tendo havido a suspensão cautelar, corre sem óbice o prazo do livramento condicional, cujo termo, sem revogação, implica extinção da pena.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4. O retardamento da decisão, meramente declaratória, da extinção da pena – ainda quando devido à falta de ciência da condenação intercorrente -, não autoriza o juiz de execução a desconstituir o efeito anteriormente consumado do termo do prazo fatal do livramento.”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708" w:firstLine="70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Do voto do relator:</w:t>
      </w:r>
    </w:p>
    <w:p>
      <w:pPr>
        <w:pStyle w:val="Normal"/>
        <w:ind w:left="708" w:firstLine="708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“</w:t>
      </w:r>
      <w:r>
        <w:rPr>
          <w:rFonts w:cs="Tahoma" w:ascii="Tahoma" w:hAnsi="Tahoma"/>
          <w:sz w:val="24"/>
        </w:rPr>
        <w:t>O problema é saber se, exaurido o período de livramento condicional, é lícita a sua revogação, com base no art. 86, I, do C. Pen., dada a intercorrência, no curso dele, da prática de crime doloso e do trânsito em julgado da sentença que, em razão dele, condenara o paciente a pena privativa de liberdade, circunstâncias das quais só posteriormente tomou conhecimento o juízo da execução.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“</w:t>
      </w:r>
      <w:r>
        <w:rPr>
          <w:rFonts w:cs="Tahoma" w:ascii="Tahoma" w:hAnsi="Tahoma"/>
          <w:sz w:val="24"/>
        </w:rPr>
        <w:t>Estou com o parecer da Procuradoria- Geral da República em que a resposta é negativa.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“</w:t>
      </w:r>
      <w:r>
        <w:rPr>
          <w:rFonts w:cs="Tahoma" w:ascii="Tahoma" w:hAnsi="Tahoma"/>
          <w:sz w:val="24"/>
        </w:rPr>
        <w:t>Certo, acusado o liberado da prática de outro crime durante a vigência da liberdade condicional, a exaustão do prazo não implica ipso facto a extinção da pena anterior.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“</w:t>
      </w:r>
      <w:r>
        <w:rPr>
          <w:rFonts w:cs="Tahoma" w:ascii="Tahoma" w:hAnsi="Tahoma"/>
          <w:sz w:val="24"/>
        </w:rPr>
        <w:t>Daí dispor o art. 8000 C. Penal:</w:t>
      </w:r>
    </w:p>
    <w:p>
      <w:pPr>
        <w:pStyle w:val="BodyTextIndent2"/>
        <w:ind w:left="283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2"/>
        <w:ind w:left="2832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‘</w:t>
      </w:r>
      <w:r>
        <w:rPr>
          <w:rFonts w:cs="Tahoma" w:ascii="Tahoma" w:hAnsi="Tahoma"/>
          <w:sz w:val="24"/>
          <w:szCs w:val="24"/>
        </w:rPr>
        <w:t>o juiz não poderá declarar extinta a pena enquanto não passar em julgado a sentença a que responde o liberado, por crime cometido durante a sua vigência.’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“</w:t>
      </w:r>
      <w:r>
        <w:rPr>
          <w:rFonts w:cs="Tahoma" w:ascii="Tahoma" w:hAnsi="Tahoma"/>
          <w:sz w:val="24"/>
        </w:rPr>
        <w:t>Para dar eficácia a tal dispositivo, previu contudo a lei processual a suspensão do fluxo do prazo do livramento (...).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“</w:t>
      </w:r>
      <w:r>
        <w:rPr>
          <w:rFonts w:cs="Tahoma" w:ascii="Tahoma" w:hAnsi="Tahoma"/>
          <w:sz w:val="24"/>
        </w:rPr>
        <w:t>A suspensão do curso do livramento condicional até a decisão definitiva do processo resultante da imputação da prática de crime durante  a sua vigência é medida cautelar, dependente de decisão judicial específica.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“</w:t>
      </w:r>
      <w:r>
        <w:rPr>
          <w:rFonts w:cs="Tahoma" w:ascii="Tahoma" w:hAnsi="Tahoma"/>
          <w:sz w:val="24"/>
        </w:rPr>
        <w:t>Não tendo havido a suspensão cautelar, corre sem óbice o prazo do livramento, cujo termo, sem revogação, implica a extinção da pena.</w:t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1416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“</w:t>
      </w:r>
      <w:r>
        <w:rPr>
          <w:rFonts w:cs="Tahoma" w:ascii="Tahoma" w:hAnsi="Tahoma"/>
          <w:sz w:val="24"/>
        </w:rPr>
        <w:t>O retardamento indevido da decisão que a julgue extinta – meramente declaratória -, não pode desconstituir o efeito anteriormente consumado, à falta de revogação ou de suspensão do benefício.” (STF – Primeira Turma – Rel. Min. Sepúlveda Pertence – HC 81.87000-0 / SP – j. em 06/08/2012 - DJ 20.0000.2012 – votação unânime)</w:t>
      </w:r>
    </w:p>
    <w:p>
      <w:pPr>
        <w:pStyle w:val="BodyText2"/>
        <w:ind w:firstLine="1440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ind w:firstLine="2148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Dignos julgadores, a questão é simples e tudo parte do entendimento de que o simples cometimento de delito não opera a suspensão do curso do livramento, por esta não ser automática, dependente de apreciação judicial, onde é ofertada a oportunidade do apenado apresentar justificativa.</w:t>
      </w:r>
    </w:p>
    <w:p>
      <w:pPr>
        <w:pStyle w:val="Normal"/>
        <w:ind w:firstLine="108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2520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“</w:t>
      </w:r>
      <w:r>
        <w:rPr>
          <w:rFonts w:cs="Tahoma" w:ascii="Tahoma" w:hAnsi="Tahoma"/>
          <w:sz w:val="24"/>
        </w:rPr>
        <w:t>LIBERDADE CONDICICIONAL. TÉRMINO DO PERÍODO DE PROVA .</w:t>
      </w:r>
    </w:p>
    <w:p>
      <w:pPr>
        <w:pStyle w:val="Corpodotextorecuado"/>
        <w:jc w:val="left"/>
        <w:rPr>
          <w:rFonts w:ascii="Tahoma" w:hAnsi="Tahoma" w:cs="Tahoma"/>
          <w:b w:val="false"/>
          <w:b w:val="false"/>
          <w:sz w:val="24"/>
        </w:rPr>
      </w:pPr>
      <w:r>
        <w:rPr>
          <w:rFonts w:cs="Tahoma" w:ascii="Tahoma" w:hAnsi="Tahoma"/>
          <w:b w:val="false"/>
          <w:sz w:val="24"/>
        </w:rPr>
        <w:t>Considera-se extinta a pena privativa de liberdade como término do período de prova de livramento condicional, se não houve a sua revogação nem a suspensão cautelar no curso do benefício por decisão judicial.Nesse entendimento , a Turma deferiu Habeas Corpus  para declarar extinta a pena objeto do livramento condicional concedido ao paciente, cujo período de prova, já cumprido, fora posteriormente prorrogado em face do conhecimento tardio , pelo Juiz da execução, da condenação do paciente em outro crime cometido durante o período de prova -,resultando na revogação do benefício  . Entendeu-se que a  lei faculta ao juiz a possibilidade de suspender</w:t>
      </w:r>
    </w:p>
    <w:p>
      <w:pPr>
        <w:pStyle w:val="Corpodotextorecuado"/>
        <w:jc w:val="left"/>
        <w:rPr>
          <w:rFonts w:ascii="Tahoma" w:hAnsi="Tahoma" w:cs="Tahoma"/>
          <w:b w:val="false"/>
          <w:b w:val="false"/>
          <w:sz w:val="24"/>
        </w:rPr>
      </w:pPr>
      <w:r>
        <w:rPr>
          <w:rFonts w:cs="Tahoma" w:ascii="Tahoma" w:hAnsi="Tahoma"/>
          <w:b w:val="false"/>
          <w:sz w:val="24"/>
        </w:rPr>
        <w:t>o curso do livramento condicional, salientando-se ,</w:t>
      </w:r>
    </w:p>
    <w:p>
      <w:pPr>
        <w:pStyle w:val="Corpodotextorecuado"/>
        <w:jc w:val="left"/>
        <w:rPr>
          <w:rFonts w:ascii="Tahoma" w:hAnsi="Tahoma" w:cs="Tahoma"/>
          <w:b w:val="false"/>
          <w:b w:val="false"/>
          <w:sz w:val="24"/>
        </w:rPr>
      </w:pPr>
      <w:r>
        <w:rPr>
          <w:rFonts w:cs="Tahoma" w:ascii="Tahoma" w:hAnsi="Tahoma"/>
          <w:b w:val="false"/>
          <w:sz w:val="24"/>
        </w:rPr>
      </w:r>
    </w:p>
    <w:p>
      <w:pPr>
        <w:pStyle w:val="Corpodotextorecuado"/>
        <w:jc w:val="left"/>
        <w:rPr>
          <w:rFonts w:ascii="Tahoma" w:hAnsi="Tahoma" w:cs="Tahoma"/>
          <w:b w:val="false"/>
          <w:b w:val="false"/>
          <w:sz w:val="24"/>
        </w:rPr>
      </w:pPr>
      <w:r>
        <w:rPr>
          <w:rFonts w:cs="Tahoma" w:ascii="Tahoma" w:hAnsi="Tahoma"/>
          <w:b w:val="false"/>
          <w:sz w:val="24"/>
        </w:rPr>
      </w:r>
    </w:p>
    <w:p>
      <w:pPr>
        <w:pStyle w:val="Corpodotextorecuado"/>
        <w:jc w:val="left"/>
        <w:rPr>
          <w:rFonts w:ascii="Tahoma" w:hAnsi="Tahoma" w:cs="Tahoma"/>
          <w:b w:val="false"/>
          <w:b w:val="false"/>
          <w:sz w:val="24"/>
        </w:rPr>
      </w:pPr>
      <w:r>
        <w:rPr>
          <w:rFonts w:cs="Tahoma" w:ascii="Tahoma" w:hAnsi="Tahoma"/>
          <w:b w:val="false"/>
          <w:sz w:val="24"/>
        </w:rPr>
      </w:r>
    </w:p>
    <w:p>
      <w:pPr>
        <w:pStyle w:val="Corpodotextorecuado"/>
        <w:jc w:val="left"/>
        <w:rPr>
          <w:rFonts w:ascii="Tahoma" w:hAnsi="Tahoma" w:cs="Tahoma"/>
          <w:b w:val="false"/>
          <w:b w:val="false"/>
          <w:sz w:val="24"/>
        </w:rPr>
      </w:pPr>
      <w:r>
        <w:rPr>
          <w:rFonts w:cs="Tahoma" w:ascii="Tahoma" w:hAnsi="Tahoma"/>
          <w:b w:val="false"/>
          <w:sz w:val="24"/>
        </w:rPr>
        <w:t>ainda na espécie, que as deficiências de comunicação entre os Juízos não poderiam interferir na situação do paciente, já consumada(CPP, art.732: “Praticada pelo</w:t>
      </w:r>
    </w:p>
    <w:p>
      <w:pPr>
        <w:pStyle w:val="Corpodotextorecuado"/>
        <w:jc w:val="left"/>
        <w:rPr>
          <w:rFonts w:ascii="Tahoma" w:hAnsi="Tahoma" w:cs="Tahoma"/>
          <w:b w:val="false"/>
          <w:b w:val="false"/>
          <w:sz w:val="24"/>
        </w:rPr>
      </w:pPr>
      <w:r>
        <w:rPr>
          <w:rFonts w:cs="Tahoma" w:ascii="Tahoma" w:hAnsi="Tahoma"/>
          <w:b w:val="false"/>
          <w:sz w:val="24"/>
        </w:rPr>
        <w:t>liberado nova infração , o juiz ou o Tribunal, ordenará a sua prisão , ouvido o conselho penitenciário, suspendendo o curso do livramento condicional, e a revogação ficará, entretanto, dependendo da decisão final no novo processo .”) .</w:t>
      </w:r>
    </w:p>
    <w:p>
      <w:pPr>
        <w:pStyle w:val="Normal"/>
        <w:ind w:left="2520" w:hanging="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  <w:t>HC 81.87000-SP, Rel.Min. Sepúlveda Pertence, 06.08.202.</w:t>
      </w:r>
    </w:p>
    <w:p>
      <w:pPr>
        <w:pStyle w:val="Normal"/>
        <w:ind w:left="2520" w:hanging="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ind w:left="2520" w:hanging="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ind w:left="2520" w:hanging="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  <w:t>Outrossim, vale ressaltar que o TJRJ  pela sua 1ª Câmara Criminal em sua decisão, de 14 de janeiro de 2003 em julgamento de Habeas Corpus, nº 201205004710, de caso idêntico ao do paciente, e em paridade com a decisão do Pretorio Excelso, reconheceu a extinção da pena, com aplicação do</w:t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  <w:t>art. 0000 do CP, apesar de apenado ter cometido crime durante o período de prova, por não ter sido revogado ou suspenso o livramento condicional no curso do período de prova.  Eis:</w:t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ind w:left="2880" w:hanging="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  <w:t>HABEAS CORPUS. LIVRAMENTO CONDICIONAL. INTELIGÊNCIA DO ARTIGO 86, I E 0000, AMBOS DO CÓDIGO PENAL. EXTINÇÃO DA PENA. CASSAÇÃO DA DECISÃO. Nos termos do que dispõe o art. 0000 do CP, do Código Penal,se até o témino do período fixado para o livramento condiconal este não é prorogao ou revogado, considera-se extinta a pena privativa de liberdade.  A revogação após o prazo, memso por crime cometido durante a vigência do período estipulado para o benfício, é inadmissível.  Cassação d adecisão que revogou o benefíco. Ordem concedida.</w:t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ind w:firstLine="2520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Diante do constrangimento que o paciente sofre com a suspensão do livramento condicional e a expedição de mandado de prisão, requer: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234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1-A concessão LIMINAR DA ORDEM  para suspender a o mandado de prisão expedido contra o apenado em face da revogação do seu livramento condicional para que este possa aguardar em liberdade o julgamento mérito do presente Writ;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firstLine="234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2 - E no mérito, espera assim o impetrante, com justa e tranqüila confiança, a concessão em definitivo do presente Writ, para que seja declarado extinto a pena nos termos do artigo 0000 do CP.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CIDADE, 00, MÊS, ANO</w:t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ADVOGADO</w:t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Cs w:val="22"/>
        </w:rPr>
      </w:pPr>
      <w:r>
        <w:rPr>
          <w:rFonts w:cs="" w:cstheme="minorBidi" w:ascii="Calibri" w:hAnsi="Calibri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</w:rPr>
      </w:pPr>
      <w:r>
        <w:rPr>
          <w:rFonts w:cs="Tahoma" w:ascii="Tahoma" w:hAnsi="Tahoma"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Cs w:val="22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2268" w:right="1134" w:header="720" w:top="2268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 w:val="true"/>
      <w:jc w:val="both"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 w:val="true"/>
      <w:jc w:val="center"/>
      <w:outlineLvl w:val="6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587229"/>
    <w:rPr>
      <w:rFonts w:ascii="Arial" w:hAnsi="Arial"/>
      <w:sz w:val="22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/>
    <w:rPr>
      <w:b/>
      <w:bCs/>
      <w:sz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jc w:val="center"/>
    </w:pPr>
    <w:rPr>
      <w:b/>
      <w:bCs/>
      <w:sz w:val="24"/>
    </w:rPr>
  </w:style>
  <w:style w:type="paragraph" w:styleId="Subttulo">
    <w:name w:val="Subtitle"/>
    <w:basedOn w:val="Normal"/>
    <w:qFormat/>
    <w:pPr/>
    <w:rPr>
      <w:b/>
      <w:bCs/>
      <w:sz w:val="24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BodyText3">
    <w:name w:val="Body Text 3"/>
    <w:basedOn w:val="Normal"/>
    <w:qFormat/>
    <w:pPr>
      <w:spacing w:lineRule="auto" w:line="360"/>
    </w:pPr>
    <w:rPr>
      <w:sz w:val="28"/>
    </w:rPr>
  </w:style>
  <w:style w:type="paragraph" w:styleId="Corpodotextorecuado">
    <w:name w:val="Body Text Indent"/>
    <w:basedOn w:val="Normal"/>
    <w:pPr>
      <w:ind w:left="2520" w:hanging="0"/>
      <w:jc w:val="both"/>
    </w:pPr>
    <w:rPr>
      <w:b/>
      <w:sz w:val="2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qFormat/>
    <w:pPr>
      <w:ind w:left="1416" w:hanging="0"/>
      <w:jc w:val="both"/>
    </w:pPr>
    <w:rPr>
      <w:rFonts w:ascii="Times New Roman" w:hAnsi="Times New Roman"/>
      <w:sz w:val="28"/>
      <w:szCs w:val="20"/>
    </w:rPr>
  </w:style>
  <w:style w:type="paragraph" w:styleId="BodyTextIndent3">
    <w:name w:val="Body Text Indent 3"/>
    <w:basedOn w:val="Normal"/>
    <w:qFormat/>
    <w:pPr>
      <w:ind w:left="1416" w:hanging="0"/>
      <w:jc w:val="both"/>
    </w:pPr>
    <w:rPr>
      <w:rFonts w:ascii="Times New Roman" w:hAnsi="Times New Roman"/>
      <w:i/>
      <w:sz w:val="28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2b78c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2b78c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87229"/>
    <w:pPr>
      <w:spacing w:beforeAutospacing="1" w:afterAutospacing="1"/>
    </w:pPr>
    <w:rPr>
      <w:rFonts w:ascii="Times New Roman" w:hAnsi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8</Pages>
  <Words>1954</Words>
  <Characters>10113</Characters>
  <CharactersWithSpaces>12017</CharactersWithSpaces>
  <Paragraphs>70</Paragraphs>
  <Company>Henrrique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2019-10-10T02:57:00Z</dcterms:created>
  <dc:creator>bruno bastos oliveira</dc:creator>
  <dc:description/>
  <dc:language>pt-BR</dc:language>
  <cp:lastModifiedBy/>
  <cp:lastPrinted>2005-03-10T20:43:00Z</cp:lastPrinted>
  <dcterms:modified xsi:type="dcterms:W3CDTF">2020-04-15T18:56:17Z</dcterms:modified>
  <cp:revision>4</cp:revision>
  <dc:subject/>
  <dc:title>EXMO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Henrrique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