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EXMO. SR. JUIZ PRESIDENTE DO TRIBUNAL DE ALÇADA DO ESTADO DE TAL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NOME DO CLIENTE, nacionalidade, estado civil, profissão, portador do CPF/MF nº 0000000, com Documento de Identidade de n° 000000, residente e domiciliado na Rua TAL, nº 00000, bairro TAL, CEP: 000000, CIDADE/UF, por seu advogado infra-assinado, com escritório situado em Rua TAL, nº 00000, bairro TAL, CEP: 000000, CIDADE/UF, onde recebe intimações e avisos, vêm, à presença de V. Exa., com fulcro no art. 5.º, LXVIII da Constituição Federal e art. 648, I, do Código de Processo Penal, impetrar, como impetrado tem, a presente ordem de </w:t>
      </w:r>
      <w:r>
        <w:rPr>
          <w:rFonts w:cs="Tahoma" w:ascii="Tahoma" w:hAnsi="Tahoma"/>
          <w:b/>
          <w:sz w:val="24"/>
          <w:szCs w:val="24"/>
        </w:rPr>
        <w:t>HABEAS CORPUS PARA TRANCAMENTO DE AÇÃO PENAL</w:t>
      </w:r>
      <w:r>
        <w:rPr>
          <w:rFonts w:cs="Tahoma" w:ascii="Tahoma" w:hAnsi="Tahoma"/>
          <w:sz w:val="24"/>
          <w:szCs w:val="24"/>
        </w:rPr>
        <w:t>, em seu favor, em vista das seguintes razões de fato e de direito: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paciente fora denunciado perante o MM. Juízo da Comarca de CIDADE/UF, como incurso nas sanções do art. 00, tendo a respectiva denúncia sido recebida pelo MM. Juiz de Direito da mencionada comarca, ora autoridade coatora.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Tal denúncia fora ofertada porque o paciente teria praticado o crime TAL. Essas são as condutas que o paciente teria praticado e que ensejaram o oferecimento da mencionada denúncia.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FALTA DE JUSTA CAUSA PARA A AÇÃO PENAL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(Expor os motivos que demonstrem a falta de justa causa para a ação penal ajuizada contra o paciente, demonstrando-se a inexistência do crime imputado ou a falta de condições para o mesmo).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Como bem decidiu a 1.ª Câm. Crim. do TJSC, no HC 6.00002:  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Antes de cogitar-se da viabilidade da ação penal, é preciso verificar se há um mínimo fundamento para se criar, pelo recebimento da denúncia, a coação processual com todas as suas conseqüências. Assim,  concede-se a ordem para trancar o processo”. (COAD 000.147)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caso dos autos a própria denúncia haveria de ter sido rejeitada (CPP, art. 43, III), flagrante a ilegitimidade do paciente para figurar na mencionada ação penal.  Está, pois, o paciente sofrendo coação ilegal, mercê do recebimento da mencionada denúncia, motivo bastante para o presente pedido de habeas corpus, na forma do art. 648, I, do CPP, flagrante a falta de justa causa para a ação penal.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FRANCISCO CAVALCANTI PONTES DE MIRANDA,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História e Prática do Habeas Corpus”, tomo II, Ed. Borsoi, p. 137, anotou que: “Se não se perfaz o suporte fático – O Tatbestand – para a incidência de regra jurídica de direito penal, ou privado, ou administrativo, não há justa causa”.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de se observar que para que seja recebida a denúncia, com a instauração da ação penal, torna-se necessário a existência de indícios que demonstrem ser o acusado o autor dos delitos, o que não ocorre no caso dos autos.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Os tribunais vem reiteradamente decidindo que: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ind w:left="85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A denúncia deve necessariamente  apresentar-se lastreada em elementos que evidenciem a viabilidade da acusação, sem o que se configura abuso de poder de denunciar, coarctável por meio de habeas corpus”. (RSTJ 2000/113).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Normal"/>
        <w:widowControl w:val="false"/>
        <w:ind w:left="85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A  fundamentação  da  inexistência  de  justa  causa  não  se presta à concessão do remédio heróico a não ser quando nem mesmo  em  tese  o  fato  constitui  crime, ou então, quando se verificar prima facie, que não se configura o envolvimento do acusado no fato tido como delituoso,  independentemente de apreciação de provas capazes de se produzirem somente  no decorrer da instrução criminal”. (STJ-RT 668/334)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Normal"/>
        <w:widowControl w:val="false"/>
        <w:ind w:left="85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Trancamento   da   Ação   Penal  –   Falta  de  justa   causa – Evidenciada a atipicidade de conduta, impende reconhecer   a falta de justa causa para a persecução criminal”.    (RSTJ 27/118)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Cabe verificar em habeas corpus a inexistência de circunstância essencial à tipicidade da imputação, afirmada na denúncia, quando a desminta, no ponto,  prova  documental inequívoca”. (STF-RT 708/414)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Em sede de habeas corpus  só  se  reconhece  a  falta  de justa  causa para a ação penal, sob fundamento de divórcio entre  a imputação fática contida na denúncia e os elementos de convicção  em  que  ela  se  apóia,  quando a desconformidade entre a imputação feita ao acusado e os elementos que lhe servem  de supedâneo for incontroversa, translúcida e evidente,  revelando que a acusação  resulta  de  pura criação mental de seu autor”. (Ac. 5.ª Turma do STJ, no RHC 681, RT 665/342 e 343)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2.ª Turma do TAMG, no julgamento do HC 10001.00041-000, j. 07-03-0005, relatoria do juiz Herculano Rodrigues, decidiu que: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Admite-se a concessão da ordem de habeas corpus para  trancamento da ação penal por falta de justa causa,  s e a denúncia não contém elementos de convicção da existência de infração penal ou de culpabilidade  do  acusado,   não  implicando  tal  reconhecimento julgamento antecipado do mérito da causa”.(RJTAMG 58-5000/555)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Para a 1.ª Câm. Crim. do TAMG, no HC 150.71000-1, relatoria do juiz Roney Oliveira:</w:t>
      </w:r>
    </w:p>
    <w:p>
      <w:pPr>
        <w:pStyle w:val="Normal"/>
        <w:widowControl w:val="false"/>
        <w:ind w:left="85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Inexistindo  justa causa para a oferta da denúncia,  fundada em meras alegações  de  agiotagem  feitas  pelo  devedor  por  ocasião dos embargos, configura-se o constrangimento ilegal a autorizar a concessão de habeas corpus  para  trancamento da ação penal”. (RJTAMG 50/336)</w:t>
      </w:r>
    </w:p>
    <w:p>
      <w:pPr>
        <w:pStyle w:val="Normal"/>
        <w:widowControl w:val="false"/>
        <w:ind w:left="85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evidente que qualquer ação penal deve fundar-se em elementos suficientes à demonstração de sua viabilidade.  Não há, pois, no caso dos autos, o mínimo fundamento para que a denúncia tivesse sido recebida.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2.ª Câm. Crim. do TAMG, no HC 000854-0/00, relatoria do juiz José Loyola, elucidou que: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ind w:left="85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HABEAS CORPUS – TRANCAMENTO DA AÇÃO PENAL –DENÚNCIA  INEPTA – É manifesto   o  constrangimento ilegal  decorrente de ação penal iniciada com base em denúncia  que</w:t>
        <w:tab/>
        <w:t>não  se  apóia  em  elementos  que  autorizem elo menos uma razoável suspeita da participação do acusado, e que este tenha praticado fato típico e antijurídico, agindo dolosa ou culposamente”. (RJTAMG 30/31000)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caso dos autos, ainda que a denúncia possa ter descrito em tese, um ilícito penal, tem-se que esse não fora praticado pelo paciente.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5.ª Turma do STJ, no RHC 637-PR, rel. Min. Jesus Costa Lima, j. 30-05-0000, decidiu a respeito que:</w:t>
      </w:r>
    </w:p>
    <w:p>
      <w:pPr>
        <w:pStyle w:val="Normal"/>
        <w:widowControl w:val="false"/>
        <w:ind w:left="85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ind w:left="85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PROCESSUAL PENAL – TRANCAMENTO DA AÇÃO PENAL –O habeas corpus presta-se para o trancamento da  ação  penal  quando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das investigações conclui-se, às claras, que o recorrente  não  praticou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qualquer infração penal”.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fora outro o posicionamento da 2.ª Câm. Crim. do TAMG, no HC 143.80008-6, rel. juiz Mercedo Moreira: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Habeas Corpus – Ação Penal – Interesse de agir – Denúncia – Impõe-se o trancamento da ação penal por ausência de legítimo  interesse    de agir, se inexistem no inquérito policial,  em  que  se  baseia a denúncia, elementos idôneos que indiquem a participação do agente no crime que lhe é imputado”.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5.ª Turma do STJ, no HC 1.623-SP, rel. Min. José Dantas, j. 24-02-0002, decidiu também que: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ind w:left="85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ind w:left="85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PROCESSUAL PENAL – HABEAS CORPUS – FALTA DE JUSTA</w:t>
        <w:tab/>
        <w:t xml:space="preserve">CAUSA – Trancamento  da  ação  penal.  Inequívoca  a   demonstração </w:t>
        <w:tab/>
        <w:t>facial do não-envolvimento do acusado no fato denunciado, admite-se o trancamento da ação penal por via do habeas corpus”.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Tem-se no caso dos autos, a falta das condições para a ação penal, observando-se que o fumus boni iuris é requisito para o manejo do processo penal, flagrante a falta de justa causa, mercê da inexistência de qualquer crime a punir em relação ao paciente.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É evidente que o processo criminal é, por si, causa de constrangimento, exigindo para sua instauração que a denúncia venha </w:t>
      </w:r>
      <w:r>
        <w:rPr>
          <w:rFonts w:cs="Tahoma" w:ascii="Tahoma" w:hAnsi="Tahoma"/>
          <w:b/>
          <w:sz w:val="24"/>
          <w:szCs w:val="24"/>
        </w:rPr>
        <w:t xml:space="preserve">mínima </w:t>
      </w:r>
      <w:r>
        <w:rPr>
          <w:rFonts w:cs="Tahoma" w:ascii="Tahoma" w:hAnsi="Tahoma"/>
          <w:sz w:val="24"/>
          <w:szCs w:val="24"/>
        </w:rPr>
        <w:t>mente lastreada em elementos probatórios legítimos e idôneos em torno da conduta típica.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Como bem anotou FERNANDO DA COSTA TOURINHO FILHO, Processo Penal, Ed. Jalovi, vol. I, p. 434: “Para a propositura da ação penal é preciso haja elementos de convicção quanto ao fato criminoso e sua autoria. O juiz jamais receberá uma queixa ou uma denúncia que esteja desacompanhada daqueles elementos de convicção”.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caso dos autos, para a constatação do alegado nesse pedido não há necessidade de aprofundado exame de provas, posto que a prova documental constante do próprio inquérito policial que serviu de amparo ao oferecimento da denúncia, demonstra prima facie a realidade fática.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2.ª Câm. do TACRIMSP, no HC 148.602-5, j. 27-01-86, decidiu que:</w:t>
      </w:r>
    </w:p>
    <w:p>
      <w:pPr>
        <w:pStyle w:val="Normal"/>
        <w:widowControl w:val="false"/>
        <w:ind w:left="85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ind w:left="85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HABEAS CORPUS - EXAME DE PROVAS – INEXISTÊNCIA DE  JUSTA CAUSA PARA A DENÚNCIA – APRECIAÇÃO  ADMISSÍVEL – TRANCAMENTO DA AÇÃO PENAL – ORDEM CONCEDIDA – INTELIGÊNCIA DO ART. 648, I,  DO  CPP.  Para  exercitar o controle da viabilidade de ação penal o Judiciário pode e deve examinar a prova em que se baseia a denúncia,  para  reconhecimento  da  fumaça do bom direito, o mínimo demonstrador daquelas  circunstâncias  (existência do crime e da autoria).  E  isso  é  possível  no  âmbito  do habeas corpus quando se evidenciar situação que despende aprofundado exame das provas”. (RT 60000/352)</w:t>
      </w:r>
    </w:p>
    <w:p>
      <w:pPr>
        <w:pStyle w:val="Normal"/>
        <w:widowControl w:val="false"/>
        <w:ind w:left="85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fora outro o entendimento da 1.ª Câm. do TACRIMSP, no HC 82.668:</w:t>
      </w:r>
    </w:p>
    <w:p>
      <w:pPr>
        <w:pStyle w:val="Normal"/>
        <w:widowControl w:val="false"/>
        <w:ind w:left="85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ind w:left="85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Para a perquirição da atipicidade da imputação  e  falta  de  justa causa para a ação, não constitui tabu exame de provas em habeas corpus,  desde que tal não tenha de ser feito aprofundada ou analiticamente, apresentando-se desde logo a questão como evidente”.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paciente é primário, possui ótimos antecedentes, jamais tendo se envolvido em qualquer espécie de ilícito penal. É pessoa bem conceituada na sociedade que vive, não podendo de tal sorte ser processado criminalmente numa denúncia que configura em certos aspectos abuso de poder, e em outros falta absoluta de justa causa.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Como com precisão escreveu JOSÉ FREDERICO MARQUES, quando se cuida de ação penal, maior peso adquirem esses argumentos, porquanto a persecutio criminis sempre afeta o status dignitatis do acusado e se transforma em coação ilegal, se inepta a acusação (Elementos de Direito Processual Penal, Ed. Forense, 100061, p. 163).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fora sem razão que CARNELUTTI equiparara o processo criminal a que é submetido um homem de bem, a uma autêntica pena.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vista do exposto, pede-se em nome do bom direito, seja o presente pedido processado na forma legal, para ser ao final concedida a ordem impetrada, determinando-se o trancamento da ação penal, o que se pede como medida de Direito e de inteira Justiça.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" w:name="_Hlk21008845"/>
      <w:bookmarkStart w:id="2" w:name="_Hlk21008845"/>
      <w:bookmarkEnd w:id="2"/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5" w:name="_Hlk18660203"/>
    <w:bookmarkStart w:id="6" w:name="_Hlk18660203"/>
    <w:bookmarkEnd w:id="6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3" w:name="_Hlk19040810"/>
    <w:bookmarkStart w:id="4" w:name="_Hlk19040810"/>
    <w:bookmarkEnd w:id="4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06f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520c01"/>
    <w:rPr>
      <w:rFonts w:ascii="Times New Roman" w:hAnsi="Times New Roman" w:eastAsia="Times New Roman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520c01"/>
    <w:rPr>
      <w:rFonts w:ascii="Times New Roman" w:hAnsi="Times New Roman" w:eastAsia="Times New Roman"/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5a1c3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5a1c3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520c01"/>
    <w:pPr>
      <w:spacing w:beforeAutospacing="1" w:afterAutospacing="1"/>
    </w:pPr>
    <w:rPr>
      <w:sz w:val="24"/>
      <w:szCs w:val="24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20c0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</Template>
  <TotalTime>0</TotalTime>
  <Application>LibreOffice/6.4.2.2$Windows_X86_64 LibreOffice_project/4e471d8c02c9c90f512f7f9ead8875b57fcb1ec3</Application>
  <Pages>8</Pages>
  <Words>1762</Words>
  <Characters>9102</Characters>
  <CharactersWithSpaces>10955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2019-10-10T02:43:00Z</dcterms:created>
  <dc:creator>Telma</dc:creator>
  <dc:description/>
  <dc:language>pt-BR</dc:language>
  <cp:lastModifiedBy/>
  <dcterms:modified xsi:type="dcterms:W3CDTF">2020-04-15T18:58:25Z</dcterms:modified>
  <cp:revision>4</cp:revision>
  <dc:subject/>
  <dc:title>HABEAS CORPUS PARA TRANCAMENTO DE AÇÃO PENAL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