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EXMO. SENHOR PRESIDENTE DO TRIBUNAL DE JUSTIÇA DO ESTADO TAL.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FULANO DE TAL</w:t>
      </w:r>
      <w:r>
        <w:rPr>
          <w:rFonts w:cs="Tahoma" w:ascii="Tahoma" w:hAnsi="Tahoma"/>
          <w:color w:val="000000"/>
          <w:szCs w:val="24"/>
        </w:rPr>
        <w:t>, NACIONALIDADE, advogado (a), inscrito (a) na OAB/UF sob o nº 000000, com escritório na Rua TAL, NA CIDADE/UF</w:t>
      </w:r>
      <w:r>
        <w:rPr>
          <w:rFonts w:cs="Tahoma" w:ascii="Tahoma" w:hAnsi="Tahoma"/>
          <w:szCs w:val="24"/>
        </w:rPr>
        <w:t xml:space="preserve">, de conformidade com o que dispõe o art. 5., LXVIII, da Constituição da República, combinado com o art. 648, VI, do Código de Processo Penal, vem a presença de V. Exa. impetrar a presente Petição de HABEAS CORPUS em favor do seu constituinte, ora Paciente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Cs w:val="24"/>
        </w:rPr>
        <w:t>NOME DO CLIENTE,</w:t>
      </w:r>
      <w:r>
        <w:rPr>
          <w:rFonts w:cs="Tahoma" w:ascii="Tahoma" w:hAnsi="Tahoma"/>
          <w:spacing w:val="2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Cs w:val="24"/>
        </w:rPr>
        <w:t>F</w:t>
      </w:r>
      <w:bookmarkEnd w:id="0"/>
      <w:bookmarkEnd w:id="2"/>
      <w:r>
        <w:rPr>
          <w:rFonts w:cs="Tahoma" w:ascii="Tahoma" w:hAnsi="Tahoma"/>
          <w:szCs w:val="24"/>
        </w:rPr>
        <w:t>, requerendo desde já, os benefícios da Justiça Gratuita, ex vi preceituados na Lei n. 1.060/50, contra decisão definitiva do MM. JUIZ DE DIREITO DA 00</w:t>
      </w:r>
      <w:r>
        <w:rPr>
          <w:rFonts w:cs="Tahoma" w:ascii="Tahoma" w:hAnsi="Tahoma"/>
          <w:szCs w:val="24"/>
          <w:vertAlign w:val="superscript"/>
        </w:rPr>
        <w:t>a</w:t>
      </w:r>
      <w:r>
        <w:rPr>
          <w:rFonts w:cs="Tahoma" w:ascii="Tahoma" w:hAnsi="Tahoma"/>
          <w:szCs w:val="24"/>
        </w:rPr>
        <w:t xml:space="preserve"> VARA CRIMINAL DO FORUM DA CAPITAL, no processo criminal n. 000000, ora figurando na qualidade de Autoridade Coatora, pelos motivos a seguir expostos:</w:t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OS FATOS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foi condenado  (Doc. 00) pelo Juízo da 00</w:t>
      </w:r>
      <w:r>
        <w:rPr>
          <w:rFonts w:cs="Tahoma" w:ascii="Tahoma" w:hAnsi="Tahoma"/>
          <w:vertAlign w:val="superscript"/>
        </w:rPr>
        <w:t>a</w:t>
      </w:r>
      <w:r>
        <w:rPr>
          <w:rFonts w:cs="Tahoma" w:ascii="Tahoma" w:hAnsi="Tahoma"/>
        </w:rPr>
        <w:t>. Vara Criminal do Fórum da Capital como incurso nas penas do art. 214 do Código Penal (Forma Simples), visto que, a vítima não era menor de quatorze anos nem resultou em lesão grave ou morte.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Entretanto, o MM. Julgador invocou o art. 1º da Lei n. 8.072/0000, vislumbrando no infinito a rotulação de “crime hediondo”.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pena aplicada foi de 00 (NÚMERO) anos de reclusão para cumprimento integralmente em regime fechado.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É contra esta decisão estipulando o regime prisional que este Habeas Corpus visa impugnar, face o que estabelece o art. 33 do Código Penal, o que atesta os autos e repertório jurisprudencial que trata a matéria.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NULIDADE DA DECISÃO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sentença condenatória que imputou seis anos de reclusão ao Paciente foi com base no art. 214 do Código Penal ( Atentado Violento ao Pudor na sua Forma Simples ), capitulação que exclui do rol dos crimes hediondos.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Isso porque, para a configuração de crime hediondo é necessário que a conduta típica resulte em lesão corporal grave ou morte.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existência de lesão leve é absorvida pelo tipo por se constituir em elemento da violência do crime de atentado violento ao pudor.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Nesse sentir: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 lesões leves sofridas pela vítima quando submetida à tentativa de atentado violento ao pudor integram esse crime contra a liberdade sexual e por ele são absorvida” ( RT 50003/337 )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(...)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Coito anal – Se ocorrer lesão corporal quando da prática do delito, essa não se constitui em infração autônoma, eis que é elemento do fato típico” ( TJSC – JC 46/30008 )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(...)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lesão corporal é elemento da violência do crime de atentado violento ao pudor e não constitui infração autônoma” ( TJBA – RTJE 82/181 )</w:t>
      </w:r>
    </w:p>
    <w:p>
      <w:pPr>
        <w:pStyle w:val="BodyTextIndent2"/>
        <w:tabs>
          <w:tab w:val="clear" w:pos="708"/>
          <w:tab w:val="left" w:pos="2064" w:leader="none"/>
          <w:tab w:val="left" w:pos="9359" w:leader="none"/>
        </w:tabs>
        <w:ind w:left="2250" w:hanging="0"/>
        <w:jc w:val="left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 efeito, não se caracterizando a hipótese do art. 223 do Código Penal ( Formas Qualificadas ), exclue-se a configuração de crime de crime hediondo.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propósito, impende-se proclamar as reiteradas manifestações dos nossos Pretórios Superiores, a ver:</w:t>
      </w:r>
    </w:p>
    <w:p>
      <w:pPr>
        <w:pStyle w:val="Normal"/>
        <w:ind w:left="22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225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PENAL. ATENTADO VIOLENTO AO PUDOR. FORMA SIMPLES. CLASSIFICAÇÃO COMO CRIME HEDIONDO. DIVERGÊNCIA.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O Supremo Tribunal Federal, analisando a  controvérsia instaurada sobre o alcance  da Lei nº 8.072/0000, proclamou  o entendimento de que o atentado violento ao pudor praticado sem violência real situa-se fora do rol dos crimes  hediondos, admitindo-se  o cumprimento da pena no regime  inicial fechado (HC nº 78.305- MG, Relator Ministro Neri da Silveira).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- Precedente desta Sexta Turma (HC nº 10.260 - SP, Relator Ministro Fernando Gonçalves).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val="es-ES_tradnl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- Recurso especial conhecido. ( STJ - RESP 21060000/RO ; RESP(2012/0034456-1) Fonte DJ:16/11/2012   PG:0023000 – Rel.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es-ES_tradnl"/>
        </w:rPr>
        <w:t>Min. VICENTE LEAL – 6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vertAlign w:val="superscript"/>
          <w:lang w:val="es-ES_tradnl"/>
        </w:rPr>
        <w:t>a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es-ES_tradnl"/>
        </w:rPr>
        <w:t>. Turma )</w:t>
      </w:r>
    </w:p>
    <w:p>
      <w:pPr>
        <w:pStyle w:val="Normal"/>
        <w:rPr>
          <w:rFonts w:ascii="Tahoma" w:hAnsi="Tahoma" w:cs="Tahoma"/>
          <w:lang w:val="es-ES_tradnl"/>
        </w:rPr>
      </w:pPr>
      <w:r>
        <w:rPr>
          <w:rFonts w:cs="Tahoma" w:ascii="Tahoma" w:hAnsi="Tahoma"/>
          <w:lang w:val="es-ES_tradnl"/>
        </w:rPr>
        <w:t>(…)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PROCESSUAL PENAL. ESTUPRO SEM VIOLÊNCIA REAL. NÃO CONFIGURAÇÃO DE CRIME HEDIONDO. PROGRESSÃO DE REGIME. POSSIBILIDADE.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1 - Nos termos do art. 1º, inciso V, da Lei nº 8.072/0000, somente o estupro praticado com violência real (lesão corporal grave ou morte) é considerado hediondo, motivo pelo qual, perpetrado o delito na sua forma simples (art. 213), há possibilidade de progressão do regime prisional, haja vista que as normas penais incriminadoras devem ser interpretadas de maneira restritiva. Precedente do STF.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2 - Ordem concedida. ( STJ - </w:t>
      </w:r>
      <w:r>
        <w:fldChar w:fldCharType="begin"/>
      </w:r>
      <w:r>
        <w:rPr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instrText>PRIVATE</w:instrTex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  <w:r>
        <w:rPr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</w:r>
      <w:r>
        <w:rPr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HC 10260/SP ; HC (2012/0067731-5) - DJ  DATA:01/08/2000   PG:00342 - Órgão Julgador T6 - SEXTA TURMA – Relator Min. FERNANDO GONÇALVES )</w:t>
      </w:r>
    </w:p>
    <w:p>
      <w:pPr>
        <w:pStyle w:val="Normal"/>
        <w:ind w:left="22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 efeito, a rotulação de crime hediondo no presente processo é imprópria, inadequada e gera constrangimento ilegal ao Paciente.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De modo que, sendo o tipo simples que amolda a conduta do Paciente, o mesmo passa a ter direito prisional ao regime semi-aberto e a progressão de regime.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Isso porque, o Código Penal no seu art. 33, § 2., letra “b”, estabelece:</w:t>
      </w:r>
    </w:p>
    <w:p>
      <w:pPr>
        <w:pStyle w:val="Normal"/>
        <w:ind w:left="1416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1416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.....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condenado NÃO REICIDENTE, cuja pena seja superior a quatro anos e NÃO EXCEDA A OITO, PODERÁ, DESDE O PRINCÍPIO, CUMPRÍ-LA EM REGIME SEMI-ABERTO”.</w:t>
      </w:r>
    </w:p>
    <w:p>
      <w:pPr>
        <w:pStyle w:val="Normal"/>
        <w:ind w:left="2835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Examinando a situação processual penal do Paciente, vê-se que, é possuidor de boa conduta social e trabalhador, conforme atestam os depoimentos prestados em Juízo pelas testemunhas ( Doc. 00, 00 e 00 )</w:t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A primariedade é reconhecida pela própria sentença.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 efeito, o Paciente que foi condenado a uma pena de 06 ( seis ) anos, que é a mínima, atende a todos os requisitos previstos pelo aludido dispositivo que preceitua o seu cumprimento inicial no REGIME SEMI-ABERTO.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Não se trata de obtenção de progressão de regime. Objetiva-se preservar o direito subjetivo do Paciente em ser-lhe conferido o regime previsto na aludida legislação, cujos requisitos pessoais e processuais são preenchidos por ele. É, portanto, um direito do Paciente cumprir sua pena no regime mais brando e menos severo.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pretensão do Paciente é referendada pela manifestação judiciosa do Supremo Tribunal Federal, reiteradamente, que se pronunciou da seguinte forma: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2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2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“</w:t>
      </w:r>
      <w:r>
        <w:rPr>
          <w:rFonts w:cs="Tahoma" w:ascii="Tahoma" w:hAnsi="Tahoma"/>
          <w:sz w:val="24"/>
          <w:szCs w:val="24"/>
        </w:rPr>
        <w:t>Regime Inicial de Cumprimento da Pena</w:t>
      </w:r>
    </w:p>
    <w:p>
      <w:pPr>
        <w:pStyle w:val="BodyTextIndent3"/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 acordo com a orientação adotada pelo Plenário no julgamento do HC 77.682-SP (Sessão de 22.10.0008, v. Informativo 128), a simples alusão à gravidade do delito em abstrato, sem suficiente fundamentação, não basta, por si só, para a fixação do regime de cumprimento de pena mais gravoso ao réu. Com esse entendimento, a Turma, reconhecendo serem favoráveis as circunstâncias judiciais do art. 5000, do CP, deferiu habeas corpus impetrado contra acórdão do Tribunal de Alçada Criminal de São Paulo para garantir ao paciente, primário e de bons antecedentes, o regime inicial aberto de cumprimento da pena, nos termos do art. 33, § 3º, do CP (“A determinação do regime inicial de cumprimento da pena far-se-á com observância dos critérios previstos no art. 5000 deste código.”).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val="en-US"/>
        </w:rPr>
        <w:t xml:space="preserve">( STF - HC 77.637-SP, rel.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Min. Marco Aurélio, 24.11.0008. – Informativo STF 133 )”</w:t>
      </w:r>
    </w:p>
    <w:p>
      <w:pPr>
        <w:pStyle w:val="Normal"/>
        <w:ind w:left="225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Como se vê, o Paciente atendendo aos requisitos previstos pelo art. 33, § 2., letra “b”, teve o seu direito subjetivo de cumprir a pena imposta em regime semi-aberto cerceado, constituindo assim, em constrangimento ilegal, corrigível pela via idônea do Habeas Corpus.</w:t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Ttulo1"/>
        <w:ind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CABIMENTO DO WRIT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</w:r>
    </w:p>
    <w:p>
      <w:pPr>
        <w:pStyle w:val="BodyTextIndent2"/>
        <w:ind w:hanging="0"/>
        <w:jc w:val="left"/>
        <w:rPr>
          <w:rFonts w:ascii="Tahoma" w:hAnsi="Tahoma" w:cs="Tahoma"/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</w:rPr>
        <w:t>A matéria elencada, enfocada e sustentada, implica em questão de direito na aplicação adequada do “devido processo legal”, garantia constitucional que têm no Habeas Corpus, o meio eficaz para fulminar a nulidade proclamada e restabelecer direito violado do Paciente.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inobservância das disposições legais regidas pelo art. 33, § 2., letra “b”, do Código Penal, consoante as manifestações jurisprudenciais aplicadas ao caso aqui atacado, implica, de forma induvidosa na negação da garantia constitucional aludida.</w:t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fundamentação das decisões judiciais é uma garantia do cidadão assegurada pela Constituição, claramente desrespeitada nas nulidades apontadas.</w:t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Preleciona MIRABETE que “o habeas corpus  ( art. 648, VI – CPP ) é meio para anular o processo quando da ocorrência de nulidade processual após o trânsito em julgado”.</w:t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Direito a concessão de Habeas Corpus é assegurado pela Constituição da República ( art. 5, LXVIII ) sempre que alguém sofrer coação em sua liberdade de locomoção por ilegalidade ou abuso de poder. Trata-se de um instrumento tutelar da liberdade, inatacável no alcance pela sua supremacia diante dos procedimentos processuais comuns.</w:t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No caso em tela verifica-se a ocorrência de violação ao </w:t>
      </w:r>
      <w:r>
        <w:rPr>
          <w:rFonts w:cs="Tahoma" w:ascii="Tahoma" w:hAnsi="Tahoma"/>
          <w:b/>
          <w:szCs w:val="24"/>
        </w:rPr>
        <w:t>“devido processo legal</w:t>
      </w:r>
      <w:r>
        <w:rPr>
          <w:rFonts w:cs="Tahoma" w:ascii="Tahoma" w:hAnsi="Tahoma"/>
          <w:szCs w:val="24"/>
        </w:rPr>
        <w:t>” resultando em constrangimento ilegal decorrente da negação de vigência de lei federal.</w:t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A garantia do </w:t>
      </w:r>
      <w:r>
        <w:rPr>
          <w:rFonts w:cs="Tahoma" w:ascii="Tahoma" w:hAnsi="Tahoma"/>
          <w:b/>
          <w:szCs w:val="24"/>
        </w:rPr>
        <w:t xml:space="preserve">“devido processo legal”, </w:t>
      </w:r>
      <w:r>
        <w:rPr>
          <w:rFonts w:cs="Tahoma" w:ascii="Tahoma" w:hAnsi="Tahoma"/>
          <w:szCs w:val="24"/>
        </w:rPr>
        <w:t>leciona ROGÉRIO LAURIA TUCCI, “deve ser uma realidade em todo o desenrolar do processo judicial, de sorte que ninguém seja privado de seus direitos, a não ser que no procedimento em que este se materializa se verifiquem TODAS AS FORMALIDADES E EXIGÊNCIAS EM LEI PREVISTAS”.</w:t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tabs>
          <w:tab w:val="clear" w:pos="708"/>
          <w:tab w:val="left" w:pos="0" w:leader="none"/>
        </w:tabs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Para EDUARDO J. COUTURE “consiste em estabelecer, no ordenamento hierárquico das normas jurídicas, o primado da constituição sobre as formas legais ou regulamentadoras do processo...”</w:t>
      </w:r>
    </w:p>
    <w:p>
      <w:pPr>
        <w:pStyle w:val="Corpodotextorecuado"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Portanto, as ilegalidades denunciadas resultam em abuso de poder, cujo instrumento idôneo é o Habeas Corpus para atacá-las.</w:t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 PEDIDO</w:t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Frente ao exposto, vem a presença de V. Exa., com fundamento no art. 648, VI, do Código de Processo Penal, combinado com o art. 5., LXVIII, da Constituição da República, requerer o seguinte:</w:t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Concessão de Medida Liminar para que o Paciente aguarde, no regime semi-aberto, o cumprimento da pena imposta, no Presídio de Segurança Média de Mangabeira, até decisão definitiva do julgamento deste Habeas Corpus,   providência cautelar autorizada pelo “fumus boni iuris” e a presença do “periculum in mora”;</w:t>
      </w:r>
    </w:p>
    <w:p>
      <w:pPr>
        <w:pStyle w:val="BodyTextIndent3"/>
        <w:tabs>
          <w:tab w:val="clear" w:pos="708"/>
          <w:tab w:val="left" w:pos="2835" w:leader="none"/>
        </w:tabs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mérito, concessão da Ordem de Habeas Corpus, para afastar a rotulação de crime hediondo na sentença impugnada, garantir-lhe o direito a progressão de regime e assegurar-lhe o regime inicial do semi-aberto para cumprimento da pena imposta.</w:t>
      </w:r>
    </w:p>
    <w:p>
      <w:pPr>
        <w:pStyle w:val="BodyTextIndent3"/>
        <w:tabs>
          <w:tab w:val="clear" w:pos="708"/>
          <w:tab w:val="left" w:pos="2835" w:leader="none"/>
        </w:tabs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Seja a Autoridade Coatora intimada para no prazo legal, prestar informações;</w:t>
      </w:r>
    </w:p>
    <w:p>
      <w:pPr>
        <w:pStyle w:val="BodyTextIndent3"/>
        <w:tabs>
          <w:tab w:val="clear" w:pos="708"/>
          <w:tab w:val="left" w:pos="2835" w:leader="none"/>
        </w:tabs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BodyTextIndent3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Dê-se vista ao Ilustre Procurador da Justiça para emissão de parecer.</w:t>
      </w:r>
    </w:p>
    <w:p>
      <w:pPr>
        <w:pStyle w:val="BodyTextIndent3"/>
        <w:tabs>
          <w:tab w:val="clear" w:pos="708"/>
          <w:tab w:val="left" w:pos="2835" w:leader="none"/>
        </w:tabs>
        <w:ind w:left="225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recuado"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GoBack"/>
      <w:bookmarkStart w:id="5" w:name="_GoBack"/>
      <w:bookmarkEnd w:id="5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01 -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8144"/>
      <w:pgMar w:left="1701" w:right="851" w:header="709" w:top="1417" w:footer="851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9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firstLine="2835"/>
      <w:jc w:val="both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pPr>
      <w:keepNext w:val="true"/>
      <w:ind w:firstLine="2835"/>
      <w:jc w:val="both"/>
      <w:outlineLvl w:val="1"/>
    </w:pPr>
    <w:rPr>
      <w:rFonts w:ascii="Arial" w:hAnsi="Arial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link w:val="Rodap"/>
    <w:uiPriority w:val="99"/>
    <w:qFormat/>
    <w:rsid w:val="00277638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77638"/>
    <w:rPr>
      <w:i/>
      <w:iCs/>
      <w:color w:val="4472C4" w:themeColor="accent1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exact" w:line="331"/>
      <w:jc w:val="both"/>
    </w:pPr>
    <w:rPr>
      <w:rFonts w:ascii="Arial" w:hAnsi="Arial"/>
      <w:b/>
      <w:sz w:val="3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pPr>
      <w:spacing w:lineRule="exact" w:line="307"/>
      <w:ind w:firstLine="1418"/>
      <w:jc w:val="both"/>
    </w:pPr>
    <w:rPr>
      <w:rFonts w:ascii="Arial" w:hAnsi="Arial"/>
      <w:szCs w:val="20"/>
    </w:rPr>
  </w:style>
  <w:style w:type="paragraph" w:styleId="Preformatted" w:customStyle="1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BodyTextIndent2">
    <w:name w:val="Body Text Indent 2"/>
    <w:basedOn w:val="Normal"/>
    <w:qFormat/>
    <w:pPr>
      <w:ind w:firstLine="162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qFormat/>
    <w:pPr>
      <w:ind w:left="1701" w:hanging="0"/>
      <w:jc w:val="both"/>
    </w:pPr>
    <w:rPr>
      <w:rFonts w:ascii="Arial" w:hAnsi="Arial"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rsid w:val="0042555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7763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277638"/>
    <w:pPr>
      <w:spacing w:beforeAutospacing="1" w:afterAutospacing="1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8</Pages>
  <Words>1744</Words>
  <Characters>9148</Characters>
  <CharactersWithSpaces>10836</CharactersWithSpaces>
  <Paragraphs>77</Paragraphs>
  <Company>USO PESSOAL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2019-10-10T01:49:00Z</dcterms:created>
  <dc:creator>USUARIO</dc:creator>
  <dc:description/>
  <dc:language>pt-BR</dc:language>
  <cp:lastModifiedBy/>
  <dcterms:modified xsi:type="dcterms:W3CDTF">2020-04-15T18:55:14Z</dcterms:modified>
  <cp:revision>4</cp:revision>
  <dc:subject/>
  <dc:title>ESTADO DA PARAÍBA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USO PESSOAL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