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bookmarkStart w:id="0" w:name="_GoBack"/>
      <w:bookmarkEnd w:id="0"/>
      <w:r>
        <w:rPr>
          <w:rFonts w:cs="Tahoma" w:ascii="Tahoma" w:hAnsi="Tahoma"/>
          <w:b/>
          <w:lang w:val="en-US"/>
        </w:rPr>
        <w:t>DOUTO JUÍZO DA 00º VARA DA FAMÍLIA DA COMARCA DE CIDADE-UF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b/>
          <w:lang w:val="en-US"/>
        </w:rPr>
        <w:t>NOME DA CLIENTE,</w:t>
      </w:r>
      <w:r>
        <w:rPr>
          <w:rFonts w:cs="Tahoma" w:ascii="Tahoma" w:hAnsi="Tahoma"/>
          <w:lang w:val="en-US"/>
        </w:rPr>
        <w:t xml:space="preserve"> brasileira, estado civil, profissão, residente e domiciliada à Rua TAL, nº 000000000000, Bairro TAL, em CIDADE-UF portadora da Carteira de Identidade nº 0000000000 e inscrita no CPF sob o nº 0000000, neste ato por seus procuradores firmatários, que recebem intimações à Rua TAL, nº 000000000, Bairro TAL, em CIDADE-UF, procuração nos autos, vem, respeitosamente à presença de V. Exª, apresentar </w:t>
      </w:r>
      <w:r>
        <w:rPr>
          <w:rFonts w:cs="Tahoma" w:ascii="Tahoma" w:hAnsi="Tahoma"/>
          <w:b/>
          <w:lang w:val="en-US"/>
        </w:rPr>
        <w:t>CONTESTAÇÃO</w:t>
      </w:r>
      <w:r>
        <w:rPr>
          <w:rFonts w:cs="Tahoma" w:ascii="Tahoma" w:hAnsi="Tahoma"/>
          <w:lang w:val="en-US"/>
        </w:rPr>
        <w:t>, à ação revisional de alimentos movida por Fulano de TAL processo nº 000000000 nos termos do art. 336 do CPC/2015, pelos fatos e fundamentos que seguem: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FATOS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Autor postula a redução do valor da pensão alimentícia que paga para a ex-esposa, alegando que seus rendimentos não aumentaram na mesma proporção que o valor da pensão, vinculado ao salário mínimo, juntando ao processo, para tentar sustentar tal alegação, uma declaração do Sindicato dos Médicos de CIDADE-UF.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Afirma, com base na sua declaração de imposto de renda, que recebe a quantia mensal bruta de apenas R$ 000000000 (REAIS) para fazer frente a todas suas despesas.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Sustenta que a Ré já teve tempo para se estabelecer profissionalmente, uma vez que tem curso superior e que já decorreram três anos da separação e, ainda, que a Ré não necessitaria da exorbitante quantia de R$ 00000000 (REAIS) para sobreviver, por que além da pensão, recebe ainda, benefício previdenciário.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Aduz, ao final, que a cláusula referente ao pensionamento da Ré assumido pelo Autor no divórcio consensual é abusiva e ofende o princípio da boa-fé objetiva, e portanto, deverá ser reduzida.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 MÉRITO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 DIVÓRCIO CONSENSUAL E DO ACORDO SOBRE A PENSÃO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Primeiramente, é importante ressaltar que o Autor e a Ré efetivaram seu divórcio e o consequente acordo sobre a pensão alimentícia, conscientes das condições financeiras de cada um frente ao princípio da possibilidade x necessidade.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Não foi objeto de questionamento, à época do ajuste da pensão, o valor que o Autor recebia em seu trabalho ou o que a Ré recebia do INSS, isto é, não foi levado em consideração a renda mensal de cada um.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No mesmo sentido, a pensão não foi fixada tomando por base um percentual do valor preceito pelo Autor como demarcação, ao contrário, foi fixado um valor que independe do quantum faturado mensalmente pelo Autor.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Tudo isso foi feito de forma consensual, visando o melhor para ambas as partes, haja vista a convivência de TANTOS ANOS e a maturidade de ambos ex-cônjuges, que tinham plena consciência das condições e possibilidades de cada um.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Desta forma, Autor e Ré decidiram, de forma livre e consensual, fixar o valor da pensão alimentícia mensal em quantia equivalente a TANTOS salários mínimos, cujo referencial vem se mostrando a forma mais adequado de correção deste tipo de obrigação.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alegação do Autor de que a cláusula referente ao pensionamento é abusiva ou ainda, que ofende ao princípio da boa-fé objetiva é, no mínimo, risível, uma vez que foi ele próprio que a estipula. Neste caso, ao alegar abusividade, o Autor está incidindo na clássica venire contra factum proprium, o que é vedado justamente pelo princípio da boa-fé objetiva.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Em resumo, se há ofensa ao princípio da boa-fé objetiva, ela está sendo provida pelo Autor, cujo comportamento e alegações extrapolam os limites de seu direito subjetivo.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DOS RENDIMENTOS DO AUTOR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Conforme já mencionado, o acordo sobre a pensão paga pelo Autor à Ré não foi baseado no valor que o Autor recebia naquela época, ou seja, não foi feito em porcentagem de rendimento, mas sim em valor fixo, independentemente do rendimento que o autor viesse a receber.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Ré, desta forma, não precisava saber o valor do rendimento do Autor naquela época, do qual apenas tinha uma noção decorrente de comentários do seu ex-marido.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Entretanto, a partir do pedido do Autor de revisão do valor da pensão com base na diminuição da sua possibilidade de pagamento, esta informação se tornou imprescindível para o deslinde da ação.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curioso é que o Autor nada traz ao processo sobre seus rendimentos no ano TAL época da fixação da pensão.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Ora, se o Autor alega que seus rendimentos não aumentaram do ano TAL até TAL porque não juntou a declaração de rendimentos destes anos para provar o alegado?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Será que uma declaração do Sindicato dos Médicos dizendo que a categoria não teve aumento prova que o Autor não teve aumento nos seus rendimentos?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É evidente que não! Aliás, não prova nada, pois o papel de um sindicato, entre outros de relevância, é justamente o de sempre reclamar da defasagem nos rendimentos da sua categoria.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Logo, somente a juntada das declarações de rendimento do Autor ao processo, relativas aos anos-calendários TAL e TAL é que poderão servir como princípio de prova de que o Autor não teve aumento nos seus rendimentos.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DA DECLARAÇÃO DE RENDIMENTOS DO AUTOR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declaração anual de rendimentos do Autor juntada às fls. 00 dos autos, além de ser muito esclarecedora, ainda serve para contradizer as alegações esposadas na inicial.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Primeiramente, a dita declaração refere-se ao ano-calendário TAL exercício TAL ou seja, reflete os rendimentos obtidos pelo Autor no ano TAL e não no ano TAL como era de se esperar, pois já estamos em ANO TAL.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Se o autor reclama que não teve aumento na remuneração, espera-se que ele junte aos autos, pelo menos, a última declaração apresentada e não a de dois anos antes. A declaração ano-calendário TAL exercício TAL já foi apresentada pelo Autor, pois o prazo de entrega encerrou em DATA TAL.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segunda observação, e talvez a mais contraditória, é a remuneração que o Autor alega ter recebido com base nos valores que declarou na declaração de imposto de renda.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De acordo com o Autor, seu rendimento mensal fora de R$ 000000000 (REAIS) o qual, multiplicado pelos doze meses do ano alcançou a quantia inscrita no campo Total rendimentos tributáveis, ou seja, R$ 0000000 (REAIS).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Contudo, na fls. 00 dos autos, que contém a segunda parte da declaração de imposto de renda, pode ser constatado no item 3 - rendimentos isentos e não tributáveis, na terceira linha - lucros e dividendos recebidos, um valor de R$ 00000000 (REAIS) o qual, ao contrário do valor anterior, é líquido, isento de tributação.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Ou seja, o Autor obteve de remuneração, no ano, a importância de R$ 0000000 (REAIS), e não os R$ 0000000 (REAIS)que insiste em alegar.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Ora Excelência, o Autor alega que percebe a remuneração de R$ 00000000 (REAIS) mas na declaração de imposto de renda que ele próprio junta ao processo, está declarado outro valor, qual seja, R$ 000000000 (REAIS) por mês.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Com isso, ficam esvaziados os argumentos do Autor quanto à diminuição de suas possibilidades de prestação, já que a pensão para a Ré representa apenas 21,1% de sua remuneração, e não os 33,6% alegados na inicial.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Está evidente que as possibilidades do Autor de manter seus compromissos, em especial a pensão para a Ré, não diminuíram, não havendo razão para a revisão requerida.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terceira observação a ser feita com relação à declaração de imposto de renda do Autor refere-se a dedutibilidade integral da pensão alimentícia paga à Ré.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autor juntou apenas duas páginas de sua declaração de imposto de renda, mas se tivesse juntado as outras páginas poderia ser visto que a pensão paga à Ré pode ser utilizada como despesa dedutível na declaração, com o que o Autor também se beneficia, pois paga menos imposto.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DO RENDIMENTO E DA NECESSIDADE DA RÉ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Como bem relatou o Autor na inicial, a Ré percebe auxílio previdenciário.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Percebe auxílio previdenciário no valor de R$ 00000000 (REAIS) conforme extrato que junta (doc. 00) pois está aposentada por invalidez moléstia profissional (doc. 00).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Se pudesse, a Ré já teria, há muito tempo, voltado a trabalhar para - entre outras coisas que o trabalho proporciona - ter a condição de não mais precisar depender da pensão do ex-marido, contudo, infelizmente, ela não pode.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Ré já trabalhou, e muito, na sua vida. A Ré sempre acreditou muito no trabalho, tanto é que trabalhou mais de TANTOS como professora. Todavia, o próprio trabalho debilitou sua saúde (problemas na coluna), a ponto de obrigar que ela parasse de trabalhar, motivo pelo qual acabou se aposentando por invalidez.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Alegar como o Autor fez, que a Ré já poderia ter se estabelecido profissionalmente é muito triste e não merece maiores comentários, apenas reprovação.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Além disso, a afirmação que a quantia de R$ 00000000 (REAIS) é exorbitante, leva a seguinte pergunta: o que é então a quantia de R$ 0000000 (REAIS) que sobra ao Autor depois de todas as suas despesas?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Quando a lei prevê que o alimentado deve receber os alimentos na proporção de sua necessidade e da possibilidade do alimentante, ela trata os alimentos não apenas como a questão alimentar em si, mas abrangendo todas as demais necessidades decorrentes da vida, tais como vestuário, transportes, segurança, saúde, etc.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É o que afirma a lição do doutrinador Yussef Said Cahali: “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“</w:t>
      </w: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Assim, na determinação do quantum, há de se ter em conta as condições sociais da pessoa que tem direito aos alimentos, a sua idade, saúde e outras circunstâncias particulares de tempo e de lugar, que influem na própria medida;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com relação a esposa, preconiza-se a concessão de alimentos, na quantidade necessária a manter a sua situação econômica e social equivalente àquela que mantinha por ocasião da vida em comum, e o padrão de vida da sociedade conjugal que se desconstituiu...”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(CAHALI, Yussef Said. Dos alimentos. São Paulo: Revista dos Tribunais, 1998. p. 755.)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E no mesmo sentido, tem-se reiteradamente manifestado a jurisprudência: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AGRAVO DE INSTRUMENTO. AÇÃO REVISIONAL DE ALIMENTOS. REDUÇÃO DA VERBA ALIMENTÍCIA PELA METADE EM TUTELA ANTECIPADA. INOBSERVÂNCIA DO BINÔMIO NECESSIDADE/POSSIBILIDADE. 1. É certo que a fixação da verba alimentícia não faz coisa julgada e seu valor pode sofrer alterações, conforme se modifiquem as condições econômicas e as necessidades das partes alimentante e alimentada; 2. Todavia, é imperioso observar a proporcionalidade entre o binômio necessidade/possibilidade, prevista no § 1º do artigo 1.694 do Código Civil; 3. A observância do contraditório e da instrução processual mostra-se imprescindível para comprovar a necessidade de redução da verba alimentícia pela metade; 4. Agravo de Instrumento conhecido e provido. (Agravo de Instrumento nº 28409-66.2008.8.06.0000/0, 4ª Câmara Cível do TJCE, Rel. Francisco Lincoln Araújo e Silva. Unânime, DJ 27.01.2011).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CIVIL E PROCESSUAL CIVIL. AÇÃO REVISIONAL DE ALIMENTOS. DEVER DE OBSERVÂNCIA DO BINÔMIO NECESSIDADE/POSSIBILIDADE. ARTIGOS 399 E 400 DO CC/1916 (artigo 1.694, § 1º, CC/2002). AUSÊNCIA DE COMPROVAÇÃO DA REDUÇÃO DA CAPACIDADE ECONÔMICA DO ALIMENTANTE. ÔNUS DE PROVA DO AUTOR DA AÇÃO. [...] APELAÇÃO CONHECIDA E NÃO PROVIDA. SENTENÇA MANTIDA. 1. De acordo com os preceitos dos artigos 399 e 400 do Código Civil de 1916 (CC/2002, artigo 1.694, § 1º), a pensão alimentícia deve ser concedida de forma razoável, levando-se em consideração a possibilidade do alimentante e a necessidade do alimentado, de sorte que o quantum fixado a título de pensão não pode importar em elevado gravame àquele que fornece os alimentos. 2. Nos moldes do artigo 400 do CC/1916 (CC/2002, artigo 1.699), os alimentos podem ser revistos quando houver alteração na situação financeira das partes, a fim de permitir que o alimentante preste alimentos em montante em que não fique privado de recursos necessários ao regular sustento. 3. Na hipótese, deve-se confirmar o montante da pensão alimentícia arbitrada pelo douto juízo monocrático, na medida em que não constam nos autos provas capazes de demonstrar a alteração da situação econômica do alimentante, ônus de prova que lhe competia, porquanto se trata de fato constitutivo do direito pleiteado [...]. 4. Apelação Cível conhecida e não provida. (Apelação nº 705044-17.2000.8.06.0001/1, 5ª Câmara Cível do TJCE, Rel. Francisco Barbosa Filho. Unânime, DJ 23.11.2010).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[...] Na revisional de alimentos, cumpre ao julgador apreciar as provas que demonstrem a modificação na situação financeira daquele que presta os alimentos ou a situação fática daquele que os recebe. Não provadas estas bases fáticas, a improcedência do pedido é a medida que se impõe. 4. O nascimento de um novo filho por si só, não importa na imediata diminuição do valor pago a título de alimentos. Apelo conhecido e desprovido, sentença mantida. (Processo nº 2009.03.1.034164-0 (470836), 3ª Turma Cível do TJDFT, Rel. João Batista Teixeira. Unânime, Dje 27.01.2011).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REVISIONAL DE ALIMENTOS - CAPACIDADE CONTRIBUTIVA DO PROVEDOR - COMPROMETIMENTO - IMPOSSIBILIDADE - COMPROVAÇÃO - REDUÇÃO. Em processos onde se discute alimentos e, por isso, tem-se em mira a sobrevivência digna das partes, o julgador deve decidir com mais flexibilidade, procurando atingir o fim a que se destina o Instituto, que, como se sabe, é o equilíbrio entre o binômio necessidade/possibilidade. Se a requerida não comprovou, a rigor, uma modificação na sua situação financeira, mas a prova dos autos não deixa dúvida quanto à sua mais absoluta impossibilidade de pagar, no momento, a pensão alimentícia anteriormente acordada, faz-se mister a redução desta. (Apelação Cível nº 1.0024.06.050552-6/001(1), 6ª Câmara Cível do TJMG, Rel. Antônio Sérvulo. J. 30.06.2009, unânime, Publ. 17.07.2009).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PROCESSO CIVIL/DIREITO DE FAMÍLIA - PRELIMINAR DE FALTA DE INTERESSE RECURSAL - APELAÇÃO ADESIVA - MAJORAÇÃO DE HONORÁRIOS - CONFIGURAÇÃO DO INTERESSE - PRELIMINAR DE NULIDADE DE SENTENÇA "CITRA PETITA" - INOCORRÊNCIA - AFASTAR PRELIMINARES. Exoneração/redução dos alimentos devidos à ex-esposa. Binômio possibilidade/necessidade. Alteração. Procedência do pedido revisional. (Apelação Cível nº 1.0382.08.087315-3/001(1), 4ª Câmara Cível do TJMG, Rel. Audebert Delage. J. 28.05.2009, unânime, Publ. 18.06.2009).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ALIMENTOS - REVISIONAL - PROCEDÊNCIA PARCIAL - APELO DO ALIMENTADO - REFORMA PARCIAL DA SENTENÇA - COMPROVAÇÃO DE ALTERAÇÃO DAS POSSIBILIDADES DO ALIMENTANTE. Comprovada diminuição na capacidade contributiva do alimentante, que não pode mais suportar o encargo alimentar na forma anteriormente acordada, impõe-se a procedência do pedido para adequar a obrigação à nova realidade dos litigantes. (Apelação Cível nº 1.0145.06.302474-2/004(1), 2ª Câmara Cível do TJMG, Rel. Brandão Teixeira. J. 03.02.2009, unânime, Publ. 04.03.2009).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Por tudo o que foi exposto, a Ré espera ter demonstrado que o valor da pensão a que está obrigado o Autor atende ao postulado possibilidade x necessidade, além de encontrar-se adequado à realidade da situação financeira de cada um, nos termos do Art. 1.694, parágrafo primeiro, do Código Civil, in verbis: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"Art. 1.694.  Podem os parentes, os cônjuges ou companheiros pedir uns aos outros os alimentos de que necessitem para viver de modo compatível com a sua condição social, inclusive para atender às necessidades de sua educação.</w:t>
      </w:r>
    </w:p>
    <w:p>
      <w:pPr>
        <w:pStyle w:val="IntenseQuote"/>
        <w:jc w:val="both"/>
        <w:rPr>
          <w:rFonts w:ascii="Tahoma" w:hAnsi="Tahoma" w:cs="Tahoma"/>
          <w:b/>
          <w:b/>
          <w:i w:val="false"/>
          <w:i w:val="false"/>
          <w:color w:val="auto"/>
          <w:sz w:val="20"/>
          <w:szCs w:val="20"/>
          <w:lang w:val="en-US"/>
        </w:rPr>
      </w:pPr>
      <w:r>
        <w:rPr>
          <w:rFonts w:cs="Tahoma" w:ascii="Tahoma" w:hAnsi="Tahoma"/>
          <w:b/>
          <w:i w:val="false"/>
          <w:color w:val="auto"/>
          <w:sz w:val="20"/>
          <w:szCs w:val="20"/>
          <w:lang w:val="en-US"/>
        </w:rPr>
        <w:t>§ 1º  Os alimentos devem ser fixados na proporção das necessidades do reclamante e dos recursos da pessoa obrigada.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DA IMPOSSIBILIDADE DE REDUÇÃO DA PENSÃO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Autor pleiteia, através da ação de revisão de alimentos, a redução da pensão alimentícia que paga para a ex-esposa, tendo pedido, inclusive, que a redução chegasse a valor inferior ao que havia sido ajustado no ano TAL. R$ 0000000 (REAIS) e o Autor pediu para pagar R$ 000000000 (REAIS)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Contudo, o autor não comprova a modificação de sua situação financeira ou a redução da possibilidade de prestar alimentos, condição sine qua non para a almejada revisão (Art. 15 da Lei 5.478/1968).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O ofício do Sindicato dos Médicos não constitui prova de nenhuma espécie, pois não tem relação com os rendimentos do Autor, mas de uma categoria, os quais, obviamente, são bastante diversos.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Ao Autor seria muito mais fácil juntar suas declarações de renda (IRPF) onde seria facilmente constatada, caso houvesse realmente uma modificação na sua situação financeira.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Ré comprovou, com os documentos juntados pelo próprio Autor - declaração de imposto de renda - que o mesmo percebe remuneração muito superior a que ele alega na inicial, afastando as demais alegações sobre a dificuldade no pagamento da obrigação.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 Ré comprovou, ainda, que não pode mais trabalhar e que por isso, necessita da pensão alimentícia fixada na ação de divórcio consensual.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DA REVOGAÇÃO DA TUTELA ANTECIPADA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Vossa Excelência deferiu o pedido de antecipação de tutela formulado pelo autor reduzindo a obrigação alimentar para 10 salários mínimos por mês.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Tendo em vista as diferenças de valores descobertas pela Ré na declaração de imposto de renda do Autor, onde ele afirma que recebe R$ 0000000 (REAIS) por mês, mas na verdade recebe R$ 000000000 (REAIS) bem como os demais fundamentos alegados, pleiteia, a Ré, a revogação da tutela antecipada para restituir os termos da pensão conforme acordo na ação de divórcio consensual, ou seja TANTOS salários mínimos por mês.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ISTO POSTO, requer a Ré: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a) seja recebida e acolhida a presente contestação para, inicialmente, revogar a tutela antecipada concedida ao Autor revigorando o valor inicial da pensão de TANTOS salários mínimos, nos termos do art. 296 do NCPC/2015, ante as divergências entre os fatos alegados e os documentos juntados com a inicial, onde o Autor alega que recebe R$ 000000000 por mês, quando na verdade recebe R$ 000000000000 (REAIS) com o que restou afastada a verossimilhança necessária à tutela antecipada;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b) sejam integralmente acolhidas as alegações da Ré, julgando-se ao final pela improcedência da ação revisional de alimentos ora contestada, mantendo-se os termos do acordo original homologado em DATA TAL.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c) a produção de todas as provas em direito admitidas;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d) a condenação do Autor nos ônus sucumbenciais e honorários advocatícios.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Termos em que,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Pede Deferimento.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  <w:t>CIDADE, 00, MÊS, ANO.</w:t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lang w:val="en-US"/>
        </w:rPr>
      </w:pPr>
      <w:r>
        <w:rPr>
          <w:rFonts w:cs="Tahoma" w:ascii="Tahoma" w:hAnsi="Tahoma"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ADVOGADO</w:t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</w:r>
    </w:p>
    <w:p>
      <w:pPr>
        <w:pStyle w:val="Normal"/>
        <w:widowControl/>
        <w:rPr>
          <w:rFonts w:ascii="Tahoma" w:hAnsi="Tahoma" w:cs="Tahoma"/>
          <w:b/>
          <w:b/>
          <w:lang w:val="en-US"/>
        </w:rPr>
      </w:pPr>
      <w:r>
        <w:rPr>
          <w:rFonts w:cs="Tahoma" w:ascii="Tahoma" w:hAnsi="Tahoma"/>
          <w:b/>
          <w:lang w:val="en-US"/>
        </w:rPr>
        <w:t>OAB Nº</w:t>
      </w:r>
    </w:p>
    <w:p>
      <w:pPr>
        <w:pStyle w:val="Normal"/>
        <w:widowControl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rPr>
          <w:lang w:val="en-US"/>
        </w:rPr>
      </w:pPr>
      <w:r>
        <w:rPr>
          <w:lang w:val="en-US"/>
        </w:rPr>
      </w:r>
    </w:p>
    <w:p>
      <w:pPr>
        <w:pStyle w:val="Normal"/>
        <w:widowControl/>
        <w:rPr>
          <w:lang w:val="en-US"/>
        </w:rPr>
      </w:pPr>
      <w:r>
        <w:rPr>
          <w:lang w:val="en-US"/>
        </w:rPr>
      </w:r>
    </w:p>
    <w:p>
      <w:pPr>
        <w:pStyle w:val="Normal"/>
        <w:jc w:val="both"/>
        <w:rPr>
          <w:rFonts w:ascii="Tahoma" w:hAnsi="Tahoma" w:cs="Tahoma"/>
          <w:b/>
          <w:b/>
          <w:color w:val="FF0000"/>
          <w:sz w:val="16"/>
          <w:szCs w:val="16"/>
        </w:rPr>
      </w:pPr>
      <w:r>
        <w:rPr>
          <w:rFonts w:cs="Tahoma" w:ascii="Tahoma" w:hAnsi="Tahoma"/>
          <w:b/>
          <w:color w:val="FF0000"/>
          <w:sz w:val="16"/>
          <w:szCs w:val="16"/>
        </w:rPr>
        <w:t>OBS: Este KIT de petições contém material sujeito a direitos autorais, todo o seu conteúdo está registrado sob direitos autorais como um trabalho coletivo submetido às Leis Brasileiras. Não é permitido o RATEIO com fins lucrativos e comercialização deste.</w:t>
      </w:r>
    </w:p>
    <w:p>
      <w:pPr>
        <w:pStyle w:val="Normal"/>
        <w:widowControl/>
        <w:rPr>
          <w:lang w:val="en-US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40" w:right="1440" w:header="0" w:top="1417" w:footer="0" w:bottom="1417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Calibri Light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mc:AlternateContent>
        <mc:Choice Requires="wps">
          <w:drawing>
            <wp:inline distT="0" distB="0" distL="0" distR="0">
              <wp:extent cx="6430010" cy="1153160"/>
              <wp:effectExtent l="0" t="0" r="0" b="0"/>
              <wp:docPr id="1" name="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429240" cy="1152360"/>
                      </a:xfrm>
                      <a:prstGeom prst="rect">
                        <a:avLst/>
                      </a:prstGeom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stroked="f" style="position:absolute;margin-left:0pt;margin-top:-90.8pt;width:506.2pt;height:90.7pt;mso-position-vertical:top" type="shapetype_75">
              <v:imagedata r:id="rId1" o:detectmouseclick="t"/>
              <w10:wrap type="none"/>
              <v:stroke color="#3465a4" joinstyle="round" endcap="flat"/>
            </v:shape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autoHyphenation w:val="true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before="440" w:after="60"/>
      <w:outlineLvl w:val="0"/>
    </w:pPr>
    <w:rPr>
      <w:rFonts w:ascii="Arial" w:hAnsi="Arial" w:cs="Arial"/>
      <w:b/>
      <w:bCs/>
      <w:sz w:val="34"/>
      <w:szCs w:val="34"/>
    </w:rPr>
  </w:style>
  <w:style w:type="paragraph" w:styleId="Ttulo2">
    <w:name w:val="Heading 2"/>
    <w:basedOn w:val="Normal"/>
    <w:next w:val="Normal"/>
    <w:link w:val="Ttulo2Char"/>
    <w:uiPriority w:val="99"/>
    <w:qFormat/>
    <w:pPr>
      <w:spacing w:before="440" w:after="60"/>
      <w:outlineLvl w:val="1"/>
    </w:pPr>
    <w:rPr>
      <w:rFonts w:ascii="Arial" w:hAnsi="Arial" w:cs="Arial"/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9"/>
    <w:qFormat/>
    <w:pPr>
      <w:spacing w:before="440" w:after="60"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link w:val="Ttulo4Char"/>
    <w:uiPriority w:val="99"/>
    <w:qFormat/>
    <w:pPr>
      <w:spacing w:before="440" w:after="60"/>
      <w:outlineLvl w:val="3"/>
    </w:pPr>
    <w:rPr>
      <w:rFonts w:ascii="Arial" w:hAnsi="Arial" w:cs="Arial"/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locked/>
    <w:rPr>
      <w:rFonts w:ascii="Calibri Light" w:hAnsi="Calibri Light" w:eastAsia="Times New Roman" w:cs="Times New Roman"/>
      <w:b/>
      <w:bCs/>
      <w:kern w:val="2"/>
      <w:sz w:val="32"/>
      <w:szCs w:val="32"/>
    </w:rPr>
  </w:style>
  <w:style w:type="character" w:styleId="Ttulo2Char" w:customStyle="1">
    <w:name w:val="Título 2 Char"/>
    <w:link w:val="Ttulo2"/>
    <w:uiPriority w:val="9"/>
    <w:semiHidden/>
    <w:qFormat/>
    <w:locked/>
    <w:rPr>
      <w:rFonts w:ascii="Calibri Light" w:hAnsi="Calibri Light" w:eastAsia="Times New Roman" w:cs="Times New Roman"/>
      <w:b/>
      <w:bCs/>
      <w:i/>
      <w:iCs/>
      <w:sz w:val="28"/>
      <w:szCs w:val="28"/>
    </w:rPr>
  </w:style>
  <w:style w:type="character" w:styleId="Ttulo3Char" w:customStyle="1">
    <w:name w:val="Título 3 Char"/>
    <w:link w:val="Ttulo3"/>
    <w:uiPriority w:val="9"/>
    <w:semiHidden/>
    <w:qFormat/>
    <w:locked/>
    <w:rPr>
      <w:rFonts w:ascii="Calibri Light" w:hAnsi="Calibri Light" w:eastAsia="Times New Roman" w:cs="Times New Roman"/>
      <w:b/>
      <w:bCs/>
      <w:sz w:val="26"/>
      <w:szCs w:val="26"/>
    </w:rPr>
  </w:style>
  <w:style w:type="character" w:styleId="Ttulo4Char" w:customStyle="1">
    <w:name w:val="Título 4 Char"/>
    <w:link w:val="Ttulo4"/>
    <w:uiPriority w:val="9"/>
    <w:semiHidden/>
    <w:qFormat/>
    <w:locked/>
    <w:rPr>
      <w:rFonts w:cs="Times New Roman"/>
      <w:b/>
      <w:bCs/>
      <w:sz w:val="28"/>
      <w:szCs w:val="28"/>
    </w:rPr>
  </w:style>
  <w:style w:type="character" w:styleId="TextodenotadefimChar" w:customStyle="1">
    <w:name w:val="Texto de nota de fim Char"/>
    <w:link w:val="Textodenotadefim"/>
    <w:uiPriority w:val="99"/>
    <w:semiHidden/>
    <w:qFormat/>
    <w:locked/>
    <w:rPr>
      <w:rFonts w:cs="Times New Roman"/>
      <w:sz w:val="20"/>
      <w:szCs w:val="20"/>
    </w:rPr>
  </w:style>
  <w:style w:type="character" w:styleId="Reference" w:customStyle="1">
    <w:name w:val="Reference"/>
    <w:uiPriority w:val="99"/>
    <w:qFormat/>
    <w:rPr>
      <w:sz w:val="20"/>
    </w:rPr>
  </w:style>
  <w:style w:type="character" w:styleId="TextodenotaderodapChar" w:customStyle="1">
    <w:name w:val="Texto de nota de rodapé Char"/>
    <w:link w:val="Textodenotaderodap"/>
    <w:uiPriority w:val="99"/>
    <w:semiHidden/>
    <w:qFormat/>
    <w:locked/>
    <w:rPr>
      <w:rFonts w:cs="Times New Roman"/>
      <w:sz w:val="20"/>
      <w:szCs w:val="20"/>
    </w:rPr>
  </w:style>
  <w:style w:type="character" w:styleId="TextosemFormataoChar" w:customStyle="1">
    <w:name w:val="Texto sem Formatação Char"/>
    <w:link w:val="TextosemFormatao"/>
    <w:uiPriority w:val="99"/>
    <w:semiHidden/>
    <w:qFormat/>
    <w:locked/>
    <w:rPr>
      <w:rFonts w:ascii="Courier New" w:hAnsi="Courier New" w:cs="Courier New"/>
      <w:sz w:val="20"/>
      <w:szCs w:val="20"/>
    </w:rPr>
  </w:style>
  <w:style w:type="character" w:styleId="Reference1" w:customStyle="1">
    <w:name w:val="Reference1"/>
    <w:uiPriority w:val="99"/>
    <w:qFormat/>
    <w:rPr>
      <w:sz w:val="20"/>
    </w:rPr>
  </w:style>
  <w:style w:type="character" w:styleId="CitaoIntensaChar" w:customStyle="1">
    <w:name w:val="Citação Intensa Char"/>
    <w:link w:val="CitaoIntensa"/>
    <w:uiPriority w:val="30"/>
    <w:qFormat/>
    <w:locked/>
    <w:rsid w:val="00b609cd"/>
    <w:rPr>
      <w:rFonts w:ascii="Times New Roman" w:hAnsi="Times New Roman" w:cs="Times New Roman"/>
      <w:i/>
      <w:iCs/>
      <w:color w:val="4472C4"/>
      <w:sz w:val="24"/>
      <w:szCs w:val="24"/>
    </w:rPr>
  </w:style>
  <w:style w:type="character" w:styleId="CabealhoChar" w:customStyle="1">
    <w:name w:val="Cabeçalho Char"/>
    <w:link w:val="Cabealho"/>
    <w:uiPriority w:val="99"/>
    <w:qFormat/>
    <w:locked/>
    <w:rsid w:val="00790a17"/>
    <w:rPr>
      <w:rFonts w:ascii="Times New Roman" w:hAnsi="Times New Roman" w:cs="Times New Roman"/>
      <w:sz w:val="24"/>
      <w:szCs w:val="24"/>
    </w:rPr>
  </w:style>
  <w:style w:type="character" w:styleId="RodapChar" w:customStyle="1">
    <w:name w:val="Rodapé Char"/>
    <w:link w:val="Rodap"/>
    <w:uiPriority w:val="99"/>
    <w:qFormat/>
    <w:locked/>
    <w:rsid w:val="00790a17"/>
    <w:rPr>
      <w:rFonts w:ascii="Times New Roman" w:hAnsi="Times New Roman" w:cs="Times New Roman"/>
      <w:sz w:val="24"/>
      <w:szCs w:val="24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ontents1" w:customStyle="1">
    <w:name w:val="Contents 1"/>
    <w:basedOn w:val="Normal"/>
    <w:next w:val="Normal"/>
    <w:qFormat/>
    <w:pPr>
      <w:ind w:left="720" w:hanging="431"/>
    </w:pPr>
    <w:rPr/>
  </w:style>
  <w:style w:type="paragraph" w:styleId="Contents2" w:customStyle="1">
    <w:name w:val="Contents 2"/>
    <w:basedOn w:val="Normal"/>
    <w:next w:val="Normal"/>
    <w:uiPriority w:val="99"/>
    <w:qFormat/>
    <w:pPr>
      <w:ind w:left="1440" w:hanging="431"/>
    </w:pPr>
    <w:rPr/>
  </w:style>
  <w:style w:type="paragraph" w:styleId="Contents3" w:customStyle="1">
    <w:name w:val="Contents 3"/>
    <w:basedOn w:val="Normal"/>
    <w:next w:val="Normal"/>
    <w:uiPriority w:val="99"/>
    <w:qFormat/>
    <w:pPr>
      <w:ind w:left="2160" w:hanging="431"/>
    </w:pPr>
    <w:rPr/>
  </w:style>
  <w:style w:type="paragraph" w:styleId="LowerRomanList" w:customStyle="1">
    <w:name w:val="Lower Roman List"/>
    <w:basedOn w:val="Normal"/>
    <w:uiPriority w:val="99"/>
    <w:qFormat/>
    <w:pPr>
      <w:ind w:left="720" w:hanging="431"/>
    </w:pPr>
    <w:rPr/>
  </w:style>
  <w:style w:type="paragraph" w:styleId="NumberedHeading1" w:customStyle="1">
    <w:name w:val="Numbered Heading 1"/>
    <w:basedOn w:val="Ttulo1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NumberedHeading2" w:customStyle="1">
    <w:name w:val="Numbered Heading 2"/>
    <w:basedOn w:val="Ttulo2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  <w:sz w:val="24"/>
      <w:szCs w:val="24"/>
    </w:rPr>
  </w:style>
  <w:style w:type="paragraph" w:styleId="SquareList" w:customStyle="1">
    <w:name w:val="Squar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fim">
    <w:name w:val="Endnote Text"/>
    <w:basedOn w:val="Normal"/>
    <w:link w:val="Textodenotadefim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4" w:customStyle="1">
    <w:name w:val="Contents 4"/>
    <w:basedOn w:val="Normal"/>
    <w:next w:val="Normal"/>
    <w:uiPriority w:val="99"/>
    <w:qFormat/>
    <w:pPr>
      <w:ind w:left="2880" w:hanging="431"/>
    </w:pPr>
    <w:rPr/>
  </w:style>
  <w:style w:type="paragraph" w:styleId="DiamondList" w:customStyle="1">
    <w:name w:val="Diamo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List" w:customStyle="1">
    <w:name w:val="Number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riangleList" w:customStyle="1">
    <w:name w:val="Triangle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umberedHeading3" w:customStyle="1">
    <w:name w:val="Numbered Heading 3"/>
    <w:basedOn w:val="Ttulo3"/>
    <w:next w:val="Normal"/>
    <w:uiPriority w:val="99"/>
    <w:qFormat/>
    <w:pPr>
      <w:tabs>
        <w:tab w:val="clear" w:pos="720"/>
        <w:tab w:val="left" w:pos="431" w:leader="none"/>
      </w:tabs>
      <w:spacing w:before="0" w:after="0"/>
    </w:pPr>
    <w:rPr>
      <w:rFonts w:ascii="Times New Roman" w:hAnsi="Times New Roman" w:cs="Times New Roman"/>
      <w:b w:val="false"/>
      <w:bCs w:val="false"/>
    </w:rPr>
  </w:style>
  <w:style w:type="paragraph" w:styleId="DashedList" w:customStyle="1">
    <w:name w:val="Dashe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RomanList" w:customStyle="1">
    <w:name w:val="Upper Roman List"/>
    <w:basedOn w:val="NumberedList"/>
    <w:uiPriority w:val="99"/>
    <w:qFormat/>
    <w:pPr/>
    <w:rPr/>
  </w:style>
  <w:style w:type="paragraph" w:styleId="HeartList" w:customStyle="1">
    <w:name w:val="Hear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BoxList" w:customStyle="1">
    <w:name w:val="Box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UpperCaseList" w:customStyle="1">
    <w:name w:val="Upper Case List"/>
    <w:basedOn w:val="NumberedList"/>
    <w:uiPriority w:val="99"/>
    <w:qFormat/>
    <w:pPr/>
    <w:rPr/>
  </w:style>
  <w:style w:type="paragraph" w:styleId="BulletList" w:customStyle="1">
    <w:name w:val="Bullet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HandList" w:customStyle="1">
    <w:name w:val="Hand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Notaderodap">
    <w:name w:val="Footnote Text"/>
    <w:basedOn w:val="Normal"/>
    <w:link w:val="TextodenotaderodapChar"/>
    <w:uiPriority w:val="99"/>
    <w:semiHidden/>
    <w:unhideWhenUsed/>
    <w:pPr>
      <w:widowControl/>
      <w:spacing w:lineRule="auto" w:line="259" w:before="0" w:after="160"/>
    </w:pPr>
    <w:rPr>
      <w:rFonts w:ascii="Calibri" w:hAnsi="Calibri"/>
      <w:sz w:val="20"/>
      <w:szCs w:val="20"/>
    </w:rPr>
  </w:style>
  <w:style w:type="paragraph" w:styleId="ContentsHeader" w:customStyle="1">
    <w:name w:val="Contents Header"/>
    <w:basedOn w:val="Normal"/>
    <w:next w:val="Normal"/>
    <w:uiPriority w:val="99"/>
    <w:qFormat/>
    <w:pPr>
      <w:spacing w:before="240" w:after="120"/>
      <w:jc w:val="center"/>
    </w:pPr>
    <w:rPr>
      <w:rFonts w:ascii="Arial" w:hAnsi="Arial" w:cs="Arial"/>
      <w:b/>
      <w:bCs/>
      <w:sz w:val="32"/>
      <w:szCs w:val="32"/>
    </w:rPr>
  </w:style>
  <w:style w:type="paragraph" w:styleId="TickList" w:customStyle="1">
    <w:name w:val="Tick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LowerCaseList" w:customStyle="1">
    <w:name w:val="Lower Case List"/>
    <w:basedOn w:val="NumberedList"/>
    <w:uiPriority w:val="99"/>
    <w:qFormat/>
    <w:pPr/>
    <w:rPr/>
  </w:style>
  <w:style w:type="paragraph" w:styleId="BlockText">
    <w:name w:val="Block Text"/>
    <w:basedOn w:val="Normal"/>
    <w:uiPriority w:val="99"/>
    <w:qFormat/>
    <w:pPr>
      <w:spacing w:before="0" w:after="120"/>
      <w:ind w:left="1440" w:right="1440" w:hanging="0"/>
    </w:pPr>
    <w:rPr/>
  </w:style>
  <w:style w:type="paragraph" w:styleId="PlainText">
    <w:name w:val="Plain Text"/>
    <w:basedOn w:val="Normal"/>
    <w:link w:val="TextosemFormataoChar"/>
    <w:uiPriority w:val="99"/>
    <w:qFormat/>
    <w:pPr/>
    <w:rPr>
      <w:rFonts w:ascii="Courier New" w:hAnsi="Courier New" w:cs="Courier New"/>
    </w:rPr>
  </w:style>
  <w:style w:type="paragraph" w:styleId="SectionHeading" w:customStyle="1">
    <w:name w:val="Section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mpliesList" w:customStyle="1">
    <w:name w:val="Implies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StarList" w:customStyle="1">
    <w:name w:val="Star List"/>
    <w:uiPriority w:val="99"/>
    <w:qFormat/>
    <w:pPr>
      <w:widowControl w:val="false"/>
      <w:bidi w:val="0"/>
      <w:spacing w:before="0" w:after="0"/>
      <w:ind w:left="720" w:hanging="431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ChapterHeading" w:customStyle="1">
    <w:name w:val="Chapter Heading"/>
    <w:basedOn w:val="NumberedHeading1"/>
    <w:next w:val="Normal"/>
    <w:uiPriority w:val="99"/>
    <w:qFormat/>
    <w:pPr>
      <w:tabs>
        <w:tab w:val="clear" w:pos="431"/>
        <w:tab w:val="left" w:pos="1584" w:leader="none"/>
      </w:tabs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b609cd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  <w:jc w:val="center"/>
    </w:pPr>
    <w:rPr>
      <w:i/>
      <w:iCs/>
      <w:color w:val="4472C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790a17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790a17"/>
    <w:pPr>
      <w:tabs>
        <w:tab w:val="clear" w:pos="720"/>
        <w:tab w:val="center" w:pos="4252" w:leader="none"/>
        <w:tab w:val="right" w:pos="8504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LibreOffice/6.4.2.2$Windows_X86_64 LibreOffice_project/4e471d8c02c9c90f512f7f9ead8875b57fcb1ec3</Application>
  <Pages>10</Pages>
  <Words>2887</Words>
  <Characters>15137</Characters>
  <CharactersWithSpaces>17945</CharactersWithSpaces>
  <Paragraphs>82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2019-01-22T20:01:00Z</dcterms:created>
  <dc:creator>Andre</dc:creator>
  <dc:description/>
  <dc:language>pt-BR</dc:language>
  <cp:lastModifiedBy/>
  <dcterms:modified xsi:type="dcterms:W3CDTF">2020-04-15T14:54:58Z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