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AO DOUTO JUÍZO DE DIREITO DA 00ª VARA DE FAMÍLIA DA CIDADE/UF.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DISTRIBUIÇÃO POR DEPENDÊNCIA AO PROCESSO Nº 00000</w:t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AÇÃO DE PRESTAÇÃO DE CONTAS</w:t>
      </w:r>
      <w:bookmarkStart w:id="1" w:name="_GoBack"/>
      <w:bookmarkEnd w:id="1"/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pela curadoria de FULANO DE TAL</w:t>
      </w:r>
      <w:r>
        <w:rPr>
          <w:rFonts w:cs="Tahoma" w:ascii="Tahoma" w:hAnsi="Tahoma"/>
          <w:b/>
          <w:bCs/>
          <w:spacing w:val="2"/>
          <w:sz w:val="24"/>
          <w:szCs w:val="24"/>
        </w:rPr>
        <w:t>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de quem é filha, interdição estabelecida no processo de nº 000000, em tramite nesse Juízo, pelo que passa a aduzir: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FATOS E DO DIREITO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DA INTERDIÇÃO – PROCESSO Nº 00000000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Requerente foi nomeada curadora do interditando em DIA/MÊS/ANO, no processo nº 00000, tendo já ajuizado em DIA/MÊS/ANO AÇÃO DE PRESTAÇÃO DE CONTAS da curadoria desde a data de sua nomeação até DIA/MÊS/ANO.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perícia técnica contábil dos documentos apresentados pela curadora, determinada pelo M.M. Juiz de Direito, concluiu que há um saldo positivo no valor de R$ 00000 (REAIS) em favor do interditado, tendo a Requerente esclarecido que: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- “algumas despesas como táxi, bebidas quando o Interditado faz caminhada, etc., não possuem comprovantes, sendo que a Curadora não tem como apontar o valor total das mesmas;”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- “o Interditado vem ajudando a sua ex-esposa desde que esta ficou doente em face da necessidade da mesma;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- “mesmo após a incapacidade do Interditado de gerir seu patrimônio, os filhos e após a curatela, a CURADORA, essa prática continuou a ser usada para que a ex-esposa, Sra. FULANA DE TAL, do Interditado não ficasse privada de suas necessidades básicas, já que estava seriamente doente e necessitando de muitos cuidados, como remédios e médicos, dentre outros;”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- “que havia uma AÇÃO REVISIONAL DE ALIMENTOS em curso, autuada sob o nº 00000000, ajuizada pela ex-mulher do Interditando em face da necessidade premente de aumento da pensão alimentícia que recebe do Interditando;”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MM. Juiz de Direito da 00ª Vara de Família determinou então que a CURADORA apresentasse cópia da petição inicial da Ação Revisional de alimentos e também Prestação de Contas da Curatela, em autos apartados, referentes ao período de DIA/MÊS/ANO a DIA/MÊS/ANO.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AÇÃO REVISIONAL DE ALIMENTOS foi anexada ao processo, com a sentença do M.M Juiz de direito da 00ª Vara de Família, majorando os alimentos pagos à FULANA DE TAL para R$ 00000 (REAIS), corrigida anualmente pelo INPC, a ser descontada diretamente na fonte pagadora do Interditado.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MM. Juiz de Direito da 00ª Vara de Família determinou à Curadora para esclarecer os valores e seus respectivos recibos, os quais foram transferidos do Interditando para sua ex-esposa, antes da fixação do novo valor de pensão pelo Juiz da 00ª Vara de Família, estando estes presentes na prestação de contas em anexo.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DA PRESTAÇÃO DE CONTAS – PERÍODO DE AFERIÇÃO – REGULARIZAÇÃO FINANCEIRA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: 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DESPESAS E GANHOS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Curadora desenvolveu devidamente a sua função de gestora da vida financeira de seu pai, sempre guardando os comprovantes, aplicando o recebido pelo interditado em seu proveito e dando continuidade no pagamento das obrigações mensais já existentes, como o pagamento dos funcionários, todos corretamente registrados e com os recolhimentos junto ao INSS, alimentação especial, remédios, dentre outras, bem como aplicando o numerário disponível.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tbl>
      <w:tblPr>
        <w:tblpPr w:bottomFromText="0" w:horzAnchor="text" w:leftFromText="45" w:rightFromText="45" w:tblpX="0" w:tblpY="0" w:topFromText="0" w:vertAnchor="text"/>
        <w:tblW w:w="9348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425"/>
        <w:gridCol w:w="1401"/>
        <w:gridCol w:w="1760"/>
        <w:gridCol w:w="1562"/>
        <w:gridCol w:w="1601"/>
        <w:gridCol w:w="1598"/>
      </w:tblGrid>
      <w:tr>
        <w:trPr/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RENDA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DESPESAS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APLICAÇÕES</w:t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SALDO</w:t>
            </w:r>
          </w:p>
        </w:tc>
      </w:tr>
      <w:tr>
        <w:trPr/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Importante informar, que o interditado possui como FONTE DE RENDA sua aposentadoria no valor de 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R$ 0000 (REAIS).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Assim, na confecção da prestação de contas, essa foi realizada conforme dispõem o art. 917 N.C.PC., demonstrando que a administração da Curadora foi responsável e eficiente, aplicando todos os rendimentos de seu pai em favor desse que, apesar da idade e das várias patologias instaladas, está com a saúde estável.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Diante do Face ao exposto, requer a V. Exa: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a)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seja julgado procedente o pedido, aprovando as contas prestadas, colocando-se a Curadora prestadora de contas à disposição deste juízo para dirimir qualquer dúvida;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b)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c)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a intimação do Ministério Público para realizar a análise das contas prestadas;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d)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a juntada dos documentos e cálculos representados nos 00 volumes em anexo.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Protesta pela produção de provas por todos os meios permitidos em direito.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Dá-se à causa para efeitos meramente fiscais o valor de R$ 0000 (REAIS).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b642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b642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b642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b642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5</Pages>
  <Words>754</Words>
  <Characters>4004</Characters>
  <CharactersWithSpaces>4722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2018-02-01T05:03:00Z</dcterms:created>
  <dc:creator/>
  <dc:description/>
  <dc:language>pt-BR</dc:language>
  <cp:lastModifiedBy/>
  <dcterms:modified xsi:type="dcterms:W3CDTF">2020-04-14T01:49:32Z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