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Hlk482887329"/>
      <w:r>
        <w:rPr>
          <w:rFonts w:cs="Tahoma" w:ascii="Tahoma" w:hAnsi="Tahoma"/>
          <w:b/>
          <w:bCs/>
          <w:spacing w:val="2"/>
        </w:rPr>
        <w:t>EXCELENTÍSSIMO SENHOR DOUTOR JUIZ DE DIREITO DA ... ª VARA CÍVEL (JUIZADO ESPECIAL) DA COMARCA DE CIDADE-ESTADO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bookmarkStart w:id="2" w:name="_Hlk483244742"/>
      <w:bookmarkStart w:id="3" w:name="_Hlk19878748"/>
      <w:bookmarkStart w:id="4" w:name="_Hlk19887579"/>
      <w:bookmarkStart w:id="5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5"/>
      <w:r>
        <w:rPr>
          <w:rFonts w:cs="Tahoma" w:ascii="Tahoma" w:hAnsi="Tahoma"/>
          <w:spacing w:val="2"/>
        </w:rPr>
        <w:t xml:space="preserve">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4"/>
      <w:r>
        <w:rPr>
          <w:rFonts w:cs="Tahoma" w:ascii="Tahoma" w:hAnsi="Tahoma"/>
          <w:spacing w:val="2"/>
        </w:rPr>
        <w:t>F</w:t>
      </w:r>
      <w:bookmarkEnd w:id="3"/>
      <w:bookmarkEnd w:id="6"/>
      <w:r>
        <w:rPr>
          <w:rFonts w:cs="Tahoma" w:ascii="Tahoma" w:hAnsi="Tahoma"/>
          <w:spacing w:val="2"/>
        </w:rPr>
        <w:t xml:space="preserve">, </w:t>
      </w:r>
      <w:bookmarkEnd w:id="0"/>
      <w:bookmarkEnd w:id="2"/>
      <w:r>
        <w:rPr>
          <w:rFonts w:cs="Tahoma" w:ascii="Tahoma" w:hAnsi="Tahoma"/>
          <w:spacing w:val="2"/>
        </w:rPr>
        <w:t>vem respeitosamente perante a Vossa Excelência propor:</w:t>
      </w:r>
      <w:bookmarkStart w:id="7" w:name="_Hlk482884762"/>
      <w:bookmarkStart w:id="8" w:name="_Hlk482880626"/>
      <w:bookmarkEnd w:id="7"/>
      <w:bookmarkEnd w:id="8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AÇÃO DE OBRIGAÇÃO DE FAZER COM PEDIDO DE ANTECIPAÇÃO DE TUTELA E DECLARAÇÃO DE INEXISTÊNCIA DE DÉBITO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3225481"/>
      <w:bookmarkStart w:id="10" w:name="_Hlk483225481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1" w:name="_Hlk483225481"/>
      <w:r>
        <w:rPr>
          <w:rFonts w:cs="Tahoma" w:ascii="Tahoma" w:hAnsi="Tahoma"/>
          <w:spacing w:val="2"/>
        </w:rPr>
        <w:t xml:space="preserve">em face de </w:t>
      </w:r>
      <w:bookmarkEnd w:id="11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2" w:name="_Hlk483247544"/>
      <w:bookmarkStart w:id="13" w:name="_Hlk482884621"/>
      <w:bookmarkEnd w:id="12"/>
      <w:bookmarkEnd w:id="13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GRATUIDADE DA JUSTIÇA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  <w:bookmarkStart w:id="14" w:name="_Hlk26957262"/>
      <w:bookmarkEnd w:id="14"/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FATOS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Requerente firmou com a empresa Consórcio Nacional TAL, em DIA/MÊS/ANO, um contrato visando a aquisição de uma motocicleta modelo TAL, nova, conforme documento anexo, e para tanto investiu na condição de consorciado, de plano cujo sistema se denomina "Consórcio" sistema este que se destina a aquisição de bens através de poupança popular com a captação antecipada.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Em DIA/MÊS/ANO o Autor foi contemplado e foi buscar a moto desejada, logo, sabendo de suas responsabilidades procurou o DETRAN/UF para realizar todas as burocracias necessárias a um veículo novo, então fez o primeiro emplacamento, conforme foto acostada aos autos, pagou o seguro e licenciamento do veículo e ficou na espera do documento Certificado de Registro de Licenciamento do Veículo (CRLV), em sua residência, conforme orientação do funcionário do órgão réu.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Após 00 dias, o Requerente nada recebeu em sua residência, então procurou novamente o DETRAN/UF, em DIA/MÊS/ANO, e foi informado que deveria pagar o IPVA/ANO.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Sabendo que tem direito a isenção, o Autor esclareceu que o veículo é novo e adquirido em ANO TAL e o funcionário do DETRAN/UF reconheceu tal direito dizendo que mandaria um email ao setor responsável e que retornasse depois de 05 (cinco) dias.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Em DIA/MÊS/ANO, o Requerente retornou à agência do DETRAN e foi informado que ainda não tinham resposta e pediram mais 03 (três) dias. O Autor retornou no DIA/MÊS/ANO e a resposta foi a mesma.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 fim, em DIA/MÊS/ANO o Requerente, mais uma vez, se dirigiu ao órgão réu na expectativa de ter seu problema solucionado e documentação expedida, contudo, nada ocorreu, apenas um email foi enviado, no DIA/MÊS/ANO, sem SEQUER explicar a situação e o setor responsável até hoje não enviou nenhuma resposta.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Diante do fato, observando-se a urgência em que o Autor possui para utilizar a motocicleta para ir para a faculdade, estágio e fazer suas atividades diárias, e devido protelação da Autarquia Ré em expedir e fornecer o documento necessário para tanto, nada mais resta senão buscar seu direito através das vias judiciais.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 DIREITO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não expedição do documento do veículo do Autor configura-se conduta abusiva cometida pela Ré, pois sem a CRLV o Autor fica impossibilitado de pilotar sua motocicleta, ou seja, foi comprada para ficar na garagem. Desse modo é necessária a imediata expedição do documento e decretada a inexistência do débito, uma vez que o veículo é novo e faz jus a isenção do IPVA.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Quanto a postergação do DETRAN/UF em expedir o documento, é cediço lembrar que o mesmo é de obrigação do órgão réu, assegurado a todos e consagrado no art. </w:t>
      </w:r>
      <w:hyperlink r:id="rId2" w:tgtFrame="Artigo 22 da Lei nº 9.503 de 23 de Setembro de 1997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22</w:t>
        </w:r>
      </w:hyperlink>
      <w:r>
        <w:rPr>
          <w:rFonts w:cs="Tahoma" w:ascii="Tahoma" w:hAnsi="Tahoma"/>
          <w:color w:val="000000" w:themeColor="text1"/>
        </w:rPr>
        <w:t xml:space="preserve"> do </w:t>
      </w:r>
      <w:hyperlink r:id="rId3" w:tgtFrame="Lei nº 9.503, de 23 de setembro de 1997."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Trânsito Brasileiro</w:t>
        </w:r>
      </w:hyperlink>
      <w:r>
        <w:rPr>
          <w:rFonts w:cs="Tahoma" w:ascii="Tahoma" w:hAnsi="Tahoma"/>
          <w:color w:val="000000" w:themeColor="text1"/>
        </w:rPr>
        <w:t>, senão vejamos: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rPr/>
      </w:pPr>
      <w:r>
        <w:rPr/>
        <w:t xml:space="preserve">Art. 22. Compete aos órgãos ou entidades executivos de trânsito dos Estados e do Distrito Federal, no âmbito de sua circunscrição: III - vistoriar, inspecionar quanto às condições de segurança veicular, registrar, emplacar, selar a placa, e licenciar veículos, </w:t>
      </w:r>
      <w:r>
        <w:rPr>
          <w:bCs/>
        </w:rPr>
        <w:t>expedindo o Certificado de Registro e o Licenciamento Anual</w:t>
      </w:r>
      <w:r>
        <w:rPr/>
        <w:t>, mediante delegação do órgão federal competente;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[...]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No que tange ao IPVA cobrado, salienta-se, que a cobrança é indevida, vez que a Lei estadual nº 8.069/2004 (</w:t>
      </w:r>
      <w:r>
        <w:rPr>
          <w:rFonts w:cs="Tahoma" w:ascii="Tahoma" w:hAnsi="Tahoma"/>
          <w:b/>
          <w:bCs/>
          <w:color w:val="000000" w:themeColor="text1"/>
        </w:rPr>
        <w:t>verificar lei estadual de cada estado</w:t>
      </w:r>
      <w:r>
        <w:rPr>
          <w:rFonts w:cs="Tahoma" w:ascii="Tahoma" w:hAnsi="Tahoma"/>
          <w:color w:val="000000" w:themeColor="text1"/>
        </w:rPr>
        <w:t>) dispõe que os veículos novos serão isentos do referido imposto no primeiro ano, vejamos:</w:t>
      </w:r>
    </w:p>
    <w:p>
      <w:pPr>
        <w:pStyle w:val="IntenseQuote"/>
        <w:rPr/>
      </w:pPr>
      <w:r>
        <w:rPr>
          <w:bCs/>
        </w:rPr>
        <w:t>Art. 1º</w:t>
      </w:r>
      <w:r>
        <w:rPr/>
        <w:t xml:space="preserve"> Fica o Poder Executivo autorizado a reduzir, em até 100% (cem por cento), a base de cálculo do Imposto sobre a Propriedade de Veículos Automotores – IPVA, devido: I - na data da aquisição interna de veículo automotor terrestre novo, de que tratam os incisos I a III do art. 5º, nas hipóteses previstas nos incisos I a III do art. 3º, ambos da Lei nº 7.301, de 17 de julho de 2000;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[...]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Assim, dispõe o art. 3º, I da lei </w:t>
      </w:r>
      <w:hyperlink r:id="rId4" w:tgtFrame="Lei nº 7301 de 30 de novembro de 2000">
        <w:r>
          <w:rPr>
            <w:rStyle w:val="LinkdaInternet"/>
            <w:rFonts w:cs="Tahoma" w:ascii="Tahoma" w:hAnsi="Tahoma"/>
            <w:color w:val="000000" w:themeColor="text1"/>
            <w:u w:val="none"/>
          </w:rPr>
          <w:t>7.301</w:t>
        </w:r>
      </w:hyperlink>
      <w:r>
        <w:rPr>
          <w:rFonts w:cs="Tahoma" w:ascii="Tahoma" w:hAnsi="Tahoma"/>
          <w:color w:val="000000" w:themeColor="text1"/>
        </w:rPr>
        <w:t>/00: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rPr/>
      </w:pPr>
      <w:r>
        <w:rPr/>
        <w:t>Art. 3º Ocorre o fato gerador do imposto: I - na data da primeira aquisição do veículo novo por consumidor final;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[...]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Ademais, segue uma notícia que informa tal benefício aos contribuintes:</w:t>
      </w:r>
    </w:p>
    <w:p>
      <w:pPr>
        <w:pStyle w:val="NormalWeb"/>
        <w:spacing w:before="280" w:after="280"/>
        <w:ind w:left="2268" w:hanging="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IntenseQuote"/>
        <w:rPr/>
      </w:pPr>
      <w:r>
        <w:rPr/>
        <w:t>O Governo de Mato Grosso, por meio da Secretaria de Estado de Fazenda (Sefaz-MT), esclarece aos contribuintes sobre os critérios para se usufruir da isenção do Imposto Sobre a Propriedade de Veículos Automotores (IPVA) no ano de aquisição do veículo. Importante destacar que o benefício é válido somente para o ano em que o veículo é adquirido, independente do mês. Nesse sentido, um carro comprado no mês de dezembro de 2011 terá a isenção somente para este mês (dezembro de 2011), ou seja, a partir de janeiro de 2012 um novo IPVA é gerado referente ao exercício de 2012 e deve ser recolhido normalmente pelo contribuinte. [...]</w:t>
      </w:r>
    </w:p>
    <w:p>
      <w:pPr>
        <w:pStyle w:val="IntenseQuote"/>
        <w:rPr/>
      </w:pPr>
      <w:r>
        <w:rPr/>
        <w:t xml:space="preserve">Fonte: &lt; </w:t>
      </w:r>
      <w:hyperlink r:id="rId5" w:tgtFrame="_blank">
        <w:r>
          <w:rPr>
            <w:rStyle w:val="LinkdaInternet"/>
            <w:rFonts w:cs="Tahoma"/>
            <w:iCs w:val="false"/>
            <w:color w:val="000000" w:themeColor="text1"/>
            <w:sz w:val="24"/>
            <w:szCs w:val="24"/>
            <w:u w:val="none"/>
          </w:rPr>
          <w:t>http://sefaz-mt.jusbrasil.com.br/noticias/2888405/sefaz-esclarece-regras-para-isencao-do-ipva-na-aquisicao-de-veiculo-zero-km</w:t>
        </w:r>
      </w:hyperlink>
      <w:r>
        <w:rPr/>
        <w:t xml:space="preserve"> &gt;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Resta demonstrado, então, que o Requerente possui isenção quanto ao IPVA do ano de ANO, ano de aquisição do veículo, e consequentemente, não possui débitos com o réu.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Dessa forma, pede-se que seja declarada a inexistência do débito e que seja o Réu intimado a expedir do documento da motocicleta do Autor.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DA ANTECIPAÇÃO DE TUTELA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Há necessidade da antecipação de tutela para evitar que haja dano material e até lesão à direito da personalidade do autor se perpetue e que os danos se prolonguem no tempo.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O periculum in mora está caracterizado, pois, o Autor necessita do documento anual do veículo, qual seja, Certificado de Registro e Licenciamento do Veículo (CRLV) para ir à faculdade e estágio, além de obrigações rotineiras, e não pode utilizar seu próprio veículo, pois, se arrisca a ser parado em alguma blitz, ter sua moto apreendida e sofrer danos materiais, vez que, a lesão patrimonial se consumará.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Logo, tal situação justifica o pedido de liminar pleiteado. Assim, o diferimento da pretensão preambular poderá acrescer mais danos aos que estão sendo suportados atualmente pelo requerente.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Incontestável, ainda, a absoluta reversibilidade da medida que se pede. Acaso no decorrer da lide se mostrem relevantes motivos jurídicos em contraposição aos agora apresentados, a questão poderá ser revista ou modificada segundo entendimento do Juiz.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Quanto ao fumus boni juris, presente se faz, evidente razoabilidade das alegações do promovente, bem como prova material robusta e apta ao acolhimento da tutela pretendida.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As provas inequívocas, capazes de convencer esse Juízo da verossimilhança dos fatos aqui alegados estão também presentes, conforme farta documentação acostada aos autos.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 xml:space="preserve">Destarte, a verossimilhança da alegação, ao lado da prova inequívoca do direito buscado pelo requerente e do seu receio de dano maior e irreparável ao patrimônio familiar, trazem a esta querela o cumprimento integral da redação prevista no artigo </w:t>
      </w:r>
      <w:hyperlink r:id="rId6" w:tgtFrame="Artigo 294 da Lei nº 5.869 de 11 de Janeiro de 1973">
        <w:r>
          <w:rPr>
            <w:rStyle w:val="LinkdaInternet"/>
            <w:rFonts w:cs="Tahoma" w:ascii="Tahoma" w:hAnsi="Tahoma"/>
            <w:color w:val="000000" w:themeColor="text1"/>
            <w:u w:val="none"/>
          </w:rPr>
          <w:t>294</w:t>
        </w:r>
      </w:hyperlink>
      <w:r>
        <w:rPr>
          <w:rFonts w:cs="Tahoma" w:ascii="Tahoma" w:hAnsi="Tahoma"/>
          <w:color w:val="000000" w:themeColor="text1"/>
        </w:rPr>
        <w:t xml:space="preserve">, parágrafo único, do Novo </w:t>
      </w:r>
      <w:hyperlink r:id="rId7" w:tgtFrame="Lei no 5.869, de 11 de janeiro de 1973.">
        <w:bookmarkStart w:id="15" w:name="_GoBack"/>
        <w:bookmarkEnd w:id="15"/>
        <w:r>
          <w:rPr>
            <w:rStyle w:val="LinkdaInternet"/>
            <w:rFonts w:cs="Tahoma" w:ascii="Tahoma" w:hAnsi="Tahoma"/>
            <w:color w:val="000000" w:themeColor="text1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</w:rPr>
        <w:t>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antecipação da tutela, portanto, tem como maior finalidade amparar o requerente até o julgamento definitivo, evitando-lhe danos futuros. Logo, na conformidade da redação legal, o requerente faz jus à concessão da tutela antecipatória, uma vez que preenche todos os requisitos por ela exigidos: prova inequívoca dos fatos e dano irreparável.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 isto, estando presentes os requisitos autorizadores da liminar, requer sua concessão para que o DETRAN/UF libere o sistema e realize a confecção do documento do veículo.</w:t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DOS PEDIDOS</w:t>
      </w:r>
    </w:p>
    <w:p>
      <w:pPr>
        <w:pStyle w:val="NormalWeb"/>
        <w:spacing w:before="280" w:after="280"/>
        <w:rPr>
          <w:rFonts w:ascii="Tahoma" w:hAnsi="Tahoma" w:cs="Tahoma"/>
          <w:bCs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bCs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bCs/>
          <w:color w:val="000000" w:themeColor="text1"/>
        </w:rPr>
        <w:t>Por todo exposto, requer: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 – REQUER CONCESSÃO DE TUTELA ANTECIPADA para determinar que o DETRAN/UF confeccione e entregue o documento da motocicleta ao Autor;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II – Que seja citado o DETRAN/UF, na pessoa do seu representante, a fim de responder aos termos da presente demanda;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III – Que seja julgado totalmente procedente o pedido, a resultar na CONDENAÇÃO definitiva do DETRAN/UF ao cumprimento de OBRIGAÇÃO DE FAZER, na espécie, consistente na confecção e fornecimento da documentação necessária para o Autor transitar pela cidade com sua motocicleta e declaração de inexistência do débito;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IV - Requer digne-se Vossa Excelência de, recebendo a presente petição inicial e conforme declaração anexa que a instrui, deferir o pedido de JUSTIÇA GRATUITA.</w:t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pacing w:before="280" w:after="28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VI</w:t>
      </w:r>
      <w:r>
        <w:rPr>
          <w:rFonts w:cs="Tahoma" w:ascii="Tahoma" w:hAnsi="Tahoma"/>
          <w:b/>
          <w:bCs/>
          <w:color w:val="000000" w:themeColor="text1"/>
        </w:rPr>
        <w:t xml:space="preserve"> –</w:t>
      </w:r>
      <w:r>
        <w:rPr>
          <w:rFonts w:cs="Tahoma" w:ascii="Tahoma" w:hAnsi="Tahoma"/>
          <w:color w:val="000000" w:themeColor="text1"/>
        </w:rPr>
        <w:t xml:space="preserve"> Dá-se ao valor da causa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6" w:name="_Hlk482880653"/>
      <w:bookmarkStart w:id="17" w:name="_Hlk482881190"/>
      <w:bookmarkStart w:id="18" w:name="_Hlk482880653"/>
      <w:bookmarkStart w:id="19" w:name="_Hlk482881190"/>
      <w:bookmarkEnd w:id="18"/>
      <w:bookmarkEnd w:id="1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20" w:name="_Hlk482880653"/>
      <w:bookmarkStart w:id="21" w:name="_Hlk482881190"/>
      <w:bookmarkEnd w:id="20"/>
      <w:bookmarkEnd w:id="21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22" w:name="_Hlk19878861"/>
      <w:bookmarkEnd w:id="2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jc w:val="left"/>
      <w:rPr/>
    </w:pPr>
    <w:r>
      <w:rPr/>
    </w:r>
    <w:bookmarkStart w:id="23" w:name="_Hlk19040810"/>
    <w:bookmarkStart w:id="24" w:name="_Hlk19040810"/>
    <w:bookmarkEnd w:id="24"/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546e8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e799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e799e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e799e"/>
    <w:rPr>
      <w:rFonts w:ascii="Lucida Grande" w:hAnsi="Lucida Grande" w:cs="Lucida Grande"/>
      <w:sz w:val="18"/>
      <w:szCs w:val="18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1a7c61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546e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e799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e799e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e799e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a7c61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25979/artigo-22-da-lei-n-9503-de-23-de-setembro-de-1997" TargetMode="External"/><Relationship Id="rId3" Type="http://schemas.openxmlformats.org/officeDocument/2006/relationships/hyperlink" Target="http://www.jusbrasil.com.br/legislacao/91797/c&#243;digo-de-tr&#226;nsito-brasileiro-lei-9503-97" TargetMode="External"/><Relationship Id="rId4" Type="http://schemas.openxmlformats.org/officeDocument/2006/relationships/hyperlink" Target="http://www.jusbrasil.com.br/legislacao/626376/lei-7301-00" TargetMode="External"/><Relationship Id="rId5" Type="http://schemas.openxmlformats.org/officeDocument/2006/relationships/hyperlink" Target="http://sefaz-mt.jusbrasil.com.br/noticias/2888405/sefaz-esclarece-regras-para-isencao-do-ipva-na-aquisicao-de-veiculo-zero-km" TargetMode="External"/><Relationship Id="rId6" Type="http://schemas.openxmlformats.org/officeDocument/2006/relationships/hyperlink" Target="http://www.jusbrasil.com.br/topicos/10708588/artigo-294-da-lei-n-5869-de-11-de-janeiro-de-1973" TargetMode="External"/><Relationship Id="rId7" Type="http://schemas.openxmlformats.org/officeDocument/2006/relationships/hyperlink" Target="http://www.jusbrasil.com.br/legislacao/91735/c&#243;digo-processo-civil-lei-5869-73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LibreOffice/6.4.2.2$Windows_X86_64 LibreOffice_project/4e471d8c02c9c90f512f7f9ead8875b57fcb1ec3</Application>
  <Pages>8</Pages>
  <Words>1486</Words>
  <Characters>7821</Characters>
  <CharactersWithSpaces>9259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2017-02-13T06:44:00Z</dcterms:created>
  <dc:creator/>
  <dc:description/>
  <dc:language>pt-BR</dc:language>
  <cp:lastModifiedBy/>
  <dcterms:modified xsi:type="dcterms:W3CDTF">2020-04-15T15:03:38Z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