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4762"/>
      <w:bookmarkStart w:id="2" w:name="_Hlk482880626"/>
      <w:bookmarkStart w:id="3" w:name="_Hlk482884762"/>
      <w:bookmarkStart w:id="4" w:name="_Hlk482880626"/>
      <w:bookmarkEnd w:id="3"/>
      <w:bookmarkEnd w:id="4"/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AÇÃO DE DIVÓRCIO, REGULAMENTAÇÃO DE GUARDA c/c OFERTA DE ALIMENTOS</w:t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  <w:bookmarkStart w:id="5" w:name="more"/>
      <w:bookmarkStart w:id="6" w:name="more"/>
      <w:bookmarkEnd w:id="6"/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 xml:space="preserve">em face de </w:t>
      </w:r>
      <w:r>
        <w:rPr>
          <w:rFonts w:cs="Tahoma" w:ascii="Tahoma" w:hAnsi="Tahoma"/>
          <w:b/>
          <w:bCs/>
          <w:spacing w:val="2"/>
          <w:sz w:val="24"/>
          <w:szCs w:val="24"/>
        </w:rPr>
        <w:t>NOME DO RÉU</w:t>
      </w:r>
      <w:r>
        <w:rPr>
          <w:rFonts w:cs="Tahoma" w:ascii="Tahoma" w:hAnsi="Tahoma"/>
          <w:spacing w:val="2"/>
          <w:sz w:val="24"/>
          <w:szCs w:val="24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BENEFÍCIOS DA JUSTIÇA GRATUITA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As partes casaram-se na data de DIA/MÊS/ANO, conforme se verifica na inclusa certidão, sob o regime de comunhão parcial de bens.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Que de tal união o casal teve uma filha, a menor impubere FULANINHA DE TAL, com idade 00 anos e 000 meses.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Que em virtude de desavenças ocorridas entre as partes e incompatibilidade, os mesmos se encontram separados de fato desde DIA/MÊS/ANO, permanecendo a cônjuge mulher no imóvel residencial, situado à Rua TAL.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desde a data da separação de fato a ré mantem a tutela de fato da menor impúbere, a qual não concorda ante a possibilidade de haver uma guarda compartilhada, motivo este que não vem permitindo o contato do autor com sua filha, utilizando-se do seu sentimento de indignação pelo fim do relacionamento como instrumento para impedir o autor de ver sua filha.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forma, o autor encontra-se em um enorme desconforto, haja vista este sempre ter cumprido com suas obrigações sejam elas no aspecto familiar, financeiro, moral e legal. Reitera-se que em momento algum fora cometido qualquer atitude que justificasse o óbice que a demandada impõe em permanecer o seu convívio harmônico e voluntario, motivo este que o autor demanda a presente ação, uma vez que não fora possível de maneira consensual resolver a presente lide.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DOS BENS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O casal possui os seguintes bens: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a) Móveis que compõe a residência do casal, situada nesta cidade, à Rua TAL, e que estão na posse e uso da cônjuge virago, sendo todos este adquiridos antes da constacia do casamento;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estes: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Cama de Casal - 02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Cama de Solteiro - 02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Condicionador de ar (SPLIT)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Condicionador de ar (JANELA)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Bicicleta – 03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Liquidificador –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Sanduicheira - 02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Computador (dekstop)- 02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Catraca –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Tatame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Material para atividade funcional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Aparelho de lavar carro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Geladeira (duplex)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Máquina de lavar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Micro-ondas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Fogão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Sofá - 02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Televisão (LED) - 02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Dvd - 01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Cadeira do Papai – 01</w:t>
      </w:r>
    </w:p>
    <w:p>
      <w:pPr>
        <w:pStyle w:val="ListParagraph"/>
        <w:numPr>
          <w:ilvl w:val="0"/>
          <w:numId w:val="1"/>
        </w:numPr>
        <w:spacing w:lineRule="auto" w:line="360"/>
        <w:ind w:left="720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Motosserra – 01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b) Um imóvel urbano, situado nesta cidade, à Rua TAL, composto por uma casa residencial, que possui a área total de 0000 mts2, que se encontra matriculado no Serviço Registral Imobiliário desta Comarca, sob a matrícula 0000, do livro de Registro Geral, conforme certidão anexa, que se encontra sob uso da cônjuge virago.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Este imóvel encontra-se quitado, com a data de quitação no DIA/MÊS/ANO, com valor de avaliação de R$ 0000 (REAIS).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Todavia, cumpre ressaltar que o imóvel em comento possui valor superior ao retro mencionado, considerando terem sido realizadas benfeitorias no imóvel e a natural valorização do bem no decurso de 02 (dois) anos.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De acordo com o que dispõe o art. 1.658 do Código Civil: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color w:val="000000" w:themeColor="text1"/>
          <w:sz w:val="20"/>
          <w:szCs w:val="20"/>
        </w:rPr>
      </w:pPr>
      <w:r>
        <w:rPr>
          <w:rStyle w:val="CitaoIntensaChar"/>
          <w:rFonts w:cs="Tahoma" w:ascii="Tahoma" w:hAnsi="Tahoma"/>
          <w:b/>
          <w:bCs/>
          <w:color w:val="auto"/>
          <w:sz w:val="20"/>
          <w:szCs w:val="20"/>
        </w:rPr>
        <w:t>“</w:t>
      </w:r>
      <w:r>
        <w:rPr>
          <w:rStyle w:val="CitaoIntensaChar"/>
          <w:rFonts w:cs="Tahoma" w:ascii="Tahoma" w:hAnsi="Tahoma"/>
          <w:b/>
          <w:bCs/>
          <w:color w:val="auto"/>
          <w:sz w:val="20"/>
          <w:szCs w:val="20"/>
        </w:rPr>
        <w:t>no regime de comunhão parcial, COMUNICAM-SE os bens que sobrevierem ao casal, na constância do casamento</w:t>
      </w:r>
      <w:r>
        <w:rPr>
          <w:rFonts w:cs="Tahoma" w:ascii="Tahoma" w:hAnsi="Tahoma"/>
          <w:b/>
          <w:bCs/>
          <w:color w:val="000000" w:themeColor="text1"/>
          <w:sz w:val="20"/>
          <w:szCs w:val="20"/>
          <w:lang w:val="pt-PT"/>
        </w:rPr>
        <w:t>”.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Assim tem entendido o TJ..: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PT"/>
        </w:rPr>
        <w:t>CITAR JURISPRUDÊNCIA DO TRIBUNAL DE JUSTIÇA DE SEU ESTADO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De acordo com o disposto na Emenda Constitucional nº 66/10, o casamento civil pode ser dissolvido pelo divórcio, independentemente da prévia separação do casal: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CONSTITUCIONAL - FAMÍLIA - DISSOLUÇÁO DO CASAMENTO CIVIL DIVÓRCIO - REQUISITO PRÉVIO E TEMPORAL - SEPARAÇÃO JUDICIAL OU DE FATO - EMENDA CONSTITUCIONAL N.º 66/2010 – SUPRESSÃO EXPLICITAÇÃO EXISTENTE NO PREÁMBULO - INCONTROVÉRSIA. Para fins de divórcio, mostra-se suficiente simples pedido do (s) cônjuge (3), sem que esteja atrelado a qualquer causa de pedir, considerando suprimido, ademais, o requisito de prévia separação judicial por mais de I (um) ano ou de comprovada separação de fato por mais de 2 (dois) anos (Apelação Cível 1.01 05. 09.302318-9/ 001, Rel. Des. (a) Manuel Saramago, 5ª CÁMARA CÍVEL do TJMG, julgamento em 12/01/2012, publicação da súmula em 24/01/2012)”.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Considerando-se que o casal já se encontra efetivamente separado de fato, desde o dia 23/06/2016, tem-se como necessária somente seja legitimada a situação já preexistente (TJMG, AI 202.701-9/00).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GUARDA COMPARTILHADA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 13.058/2014 estabelece que, por regra, a guarda deve ser compartilhada. Dessa forma pede-se que seja deferido o pedido de guarda compartilhada, tendo em vista que ambos, a autora e o réu têm a possibilidade de exercer a guarda compartilhada.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 é o entendimento do STJ: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Direito da criança e do adolescente. Recurso especial. Ação de guarda de menores ajuizada pelo pai em face da mãe. Prevalência do melhor interesse da criança. Melhores condições.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 Ao exercício da guarda sobrepõe-se o princípio do melhor interesse da criança e do adolescente, que não se pode delir, em momento algum, porquanto o instituto da guarda foi concebido, de rigor, para proteger o menor, para colocá-lo a salvo de situação de perigo, tornando perene sua ascensão à vida adulta. Não há, portanto, tutela de interesses de uma ou de outra parte em processos deste jaez; há, tão-somente, a salvaguarda do direito da criança e do adolescente, de ter, para si prestada, assistência material, moral e educacional, nos termos do art. 33 do ECA.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Devem as partes pensar, de forma comum, no bem-estar dos menores, sem intenções egoísticas, caprichosas, ou ainda, de vindita entre si, tudo isso para que possam – os filhos – usufruir harmonicamente da família que possuem, tanto a materna, quanto a paterna, porque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toda criança ou adolescente tem direito a ser criado e educado no seio da sua família, conforme dispõe o art. 19 do ECA.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A guarda deverá ser atribuída ao genitor que revele melhores condições para exercê-la e, objetivamente, maior aptidão para propiciar ao filho afeto – não só no universo genitor-filho como também no do grupo familiar e social em que está a criança ou o adolescente inserido –, saúde, segurança e educação.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 Melhores condições, para o exercício da guarda de menor, evidencia, acima de tudo, o atendimento ao melhor interesse da criança, no sentido mais completo alcançável, sendo que o aparelhamento econômico daquele que se pretende guardião do menor deve estar perfeitamente equilibrado com todos os demais fatores sujeitos à prudente ponderação exercida pelo Juiz que analisa 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Aquele que apenas apresenta melhores condições econômicas, sem contudo, ostentar equilíbrio emocional tampouco capacidade afetiva para oferecer à criança e ao adolescente toda a bagagem necessária para o seu desenvolvimento completo, como amor, carinho, educação, comportamento moral e ético adequado, urbanidade e civilidade, não deve, em absoluto, subsistir à testa da criação de seus filhos, sob pena de causar-lhes irrecuperáveis prejuízos, com sequelas que certamente serão carregadas para toda a vida adulta.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Se o conjunto probatório apresentado no processo atesta que a mãe oferece melhores condições de exercer a guarda, revelando, em sua conduta, plenas condições de promover a educação dos menores, bem assim, de assegurar a efetivação de seus direitos e facultar o desenvolvimento físico, mental, emocional, moral, espiritual e social dos filhos, em condições de liberdade e de dignidade, deve a relação materno-filial ser assegurada, sem prejuízo da relação paterno-filial, preservada por meio do direito de visitas.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O pai, por conseguinte, deverá ser chamado para complementar monetariamente em caráter de alimentos, no tocante ao sustento dos filhos, dada sua condição financeira relativamente superior à da mãe, o que não lhe confere, em momento algum, preponderância quanto à guarda dos filhos, somente porque favorecido neste aspecto, peculiaridade comum à grande parte dos ex-cônjuges ou ex-companheiros.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 Considerado o atendimento ao melhor interesse dos menores, bem assim, manifestada em Juízo a vontade destes, de serem conduzidos e permanecerem na companhia da mãe, deve ser atribuída a guarda dos filhos à genitora, invertendo-se o direito de visitas.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Os laços afetivos, em se tratando de guarda disputada entre pais, em que ambos seguem exercendo o poder familiar, devem ser amplamente assegurados, com tolerância, ponderação e harmonia, de forma a conquistar, sem rupturas, o coração dos filhos gerados, e, com isso, ampliar ainda mais os vínculos existentes no seio da família, esteio da sociedade.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Recurso especial julgado, todavia, prejudicado, ante o julgamento do mérito do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 – REsp 964836/BA – Relatora Ministra Nancy Andrighi – 3ª. Turma – Data do Julgamento 02/04/2009 – Dje 04/08/2009).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isto, o que pleiteia o autor, é apenas que não seja impedido de participar da criação de sua filha, podendo através de prévio aviso visita-la e realizar todas demais obrigações como genitor, de forma harmônica.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OFERTA DE ALIMENTOS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Encontra-se o Autor em momento financeiro frágil, posto que desde a separação de fato este encontra-se subsistindo através de “bicos” como educador social, sem contratante fixo, visto que com o súbito fim de relacionamento perdeu seu trabalho, e, inclusive, seus instrumentos de trabalho permanecem sob a posse da cônjuge virago, encontrando enorme dificuldade em se estabilizar.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Ante os fatos expostos, o demandante compromete-se a arcar com a quantia de 20% (vinte por cento) do salário mínimo, por ser este um valor possível de ser adimplido, posto que este ainda possui outra filha menor de idade. 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/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b) Que seja julgado procedente a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TUTELA ANTECIPADA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para que seja concedida a guarda compartilhada dos filhos, nos termos especificados acima, levando em consideração o interesse da menor impúbere, conforme o princípio estabelecido no ECA do melhor interesse do menor, haja vista a irreparabilidade que o afastamento do pai pode gerar em sua formação afetiva, psíquica e intelectual;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Caso não seja esse o entendimento, que seja provida a Guarda Compartilhada ao fim desta demandada;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fixação de alimentos provisórios em 20% (vinte por cento) dos ganhos do REQUERENTE;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Seja julgada procedente a presente ação, convertendo-se os alimentos provisórios fixados em definitivos;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f) </w:t>
      </w: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CITAR o réu, no endereço mencionado, para responder à presente, querendo, sob pena de sofrer os efeitos da revelia;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g) Que seja condenado ao pagamento da proporção de 50% referente do imóvel a ser vendido, qual necessita de nova avaliação, haja vista as benfeitorias realizadas no mesmo, bem como, seja decretado o DIVÓRCIO LITIGIOSO do casal, voltando a requerente ter o nome de solteira.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h) Seja determinado ao cartório competente a averbação do divórcio na forma da lei.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 xml:space="preserve">i) Seja o Requerido condenado, pelo </w:t>
      </w:r>
      <w:r>
        <w:rPr>
          <w:rFonts w:cs="Tahoma" w:ascii="Tahoma" w:hAnsi="Tahoma"/>
          <w:color w:val="000000" w:themeColor="text1"/>
          <w:spacing w:val="2"/>
        </w:rPr>
        <w:t>princípio</w:t>
      </w: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 xml:space="preserve"> da sucumbência, (art.</w:t>
      </w:r>
      <w:r>
        <w:rPr>
          <w:rStyle w:val="Appleconvertedspace"/>
          <w:rFonts w:cs="Tahoma" w:ascii="Tahoma" w:hAnsi="Tahoma"/>
          <w:color w:val="000000" w:themeColor="text1"/>
          <w:spacing w:val="2"/>
          <w:sz w:val="24"/>
          <w:szCs w:val="24"/>
        </w:rPr>
        <w:t> </w:t>
      </w:r>
      <w:hyperlink r:id="rId3" w:tgtFrame="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pacing w:val="2"/>
            <w:sz w:val="24"/>
            <w:szCs w:val="24"/>
            <w:u w:val="none"/>
          </w:rPr>
          <w:t>20</w:t>
        </w:r>
      </w:hyperlink>
      <w:r>
        <w:rPr>
          <w:rStyle w:val="Appleconvertedspace"/>
          <w:rFonts w:cs="Tahoma" w:ascii="Tahoma" w:hAnsi="Tahoma"/>
          <w:color w:val="000000" w:themeColor="text1"/>
          <w:spacing w:val="2"/>
          <w:sz w:val="24"/>
          <w:szCs w:val="24"/>
        </w:rPr>
        <w:t> </w:t>
      </w: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do N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pacing w:val="2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pacing w:val="2"/>
          <w:sz w:val="24"/>
          <w:szCs w:val="24"/>
        </w:rPr>
        <w:t>) a honrar os honorários advocatícios sobre o valor da ação, nos usuais 20%, custas e demais cominações legai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pacing w:val="2"/>
          <w:sz w:val="24"/>
          <w:szCs w:val="24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pacing w:val="2"/>
          <w:sz w:val="24"/>
          <w:szCs w:val="24"/>
        </w:rPr>
        <w:t xml:space="preserve">j) 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Requer a intervenção do representante do Ministério Público haja vista a presente demanda se tratar do interesse de menor;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k) Requer que os presentes autos corram sobre </w:t>
      </w:r>
      <w:r>
        <w:rPr>
          <w:rFonts w:cs="Tahoma" w:ascii="Tahoma" w:hAnsi="Tahoma"/>
          <w:b/>
          <w:color w:val="000000" w:themeColor="text1"/>
          <w:sz w:val="24"/>
          <w:szCs w:val="24"/>
          <w:lang w:val="pt-PT"/>
        </w:rPr>
        <w:t>SEGREDO DE JUSTIÇA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 haja vista a presente demanda se tratar de hipótese prevista no art. 189, II, do NCPC;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l) Protesta-se por provar o alegado por todos os meios de provas admitidas pelo Direito.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m) Dá-se a causa o valor de R$ 00000 (REAIS).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0653"/>
      <w:bookmarkStart w:id="8" w:name="_Hlk482881190"/>
      <w:bookmarkStart w:id="9" w:name="_Hlk482880653"/>
      <w:bookmarkStart w:id="10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1" w:name="_Hlk482880653"/>
      <w:bookmarkStart w:id="12" w:name="_Hlk482881190"/>
      <w:r>
        <w:rPr>
          <w:rFonts w:cs="Tahoma" w:ascii="Tahoma" w:hAnsi="Tahoma"/>
          <w:spacing w:val="2"/>
        </w:rPr>
        <w:t>Pede Deferimento.</w:t>
      </w:r>
      <w:bookmarkEnd w:id="11"/>
      <w:bookmarkEnd w:id="1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3" w:name="_GoBack"/>
      <w:bookmarkEnd w:id="13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4" w:name="_Hlk15046823"/>
      <w:bookmarkEnd w:id="14"/>
    </w:p>
    <w:p>
      <w:pPr>
        <w:pStyle w:val="Normal"/>
        <w:spacing w:lineRule="auto" w:line="360" w:before="0" w:after="20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6c7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567d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1567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1567d"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81567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nkdaInternet">
    <w:name w:val="Link da Internet"/>
    <w:basedOn w:val="DefaultParagraphFont"/>
    <w:uiPriority w:val="99"/>
    <w:unhideWhenUsed/>
    <w:rsid w:val="0081567d"/>
    <w:rPr>
      <w:color w:val="0000FF" w:themeColor="hyperlink"/>
      <w:u w:val="single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16c7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f00bf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c2d43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567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567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15e5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00b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2d4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10736397/artigo-20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LibreOffice/6.4.2.2$Windows_X86_64 LibreOffice_project/4e471d8c02c9c90f512f7f9ead8875b57fcb1ec3</Application>
  <Pages>13</Pages>
  <Words>1993</Words>
  <Characters>10321</Characters>
  <CharactersWithSpaces>12221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2016-09-29T15:11:00Z</dcterms:created>
  <dc:creator>Asus</dc:creator>
  <dc:description/>
  <dc:language>pt-BR</dc:language>
  <cp:lastModifiedBy/>
  <dcterms:modified xsi:type="dcterms:W3CDTF">2020-04-14T02:15:29Z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