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DOUTO JUÍZO DE DIREITO DA 00º VARA DE FAMÍLIA DA COMARCA DE CIDADE-UF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qualificação completa, por seus advogados e procuradores (documento 00), vem, respeitosamente, à presença de Vossa Excelência, aforar em face de Fulana de TAL, qualificação completa, o presente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DIVÓRCIO LITIGIOSO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o que faz com fundamento no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694</w:t>
      </w:r>
      <w:r>
        <w:rPr>
          <w:rFonts w:cs="Tahoma" w:ascii="Tahoma" w:hAnsi="Tahoma"/>
          <w:spacing w:val="2"/>
        </w:rPr>
        <w:t xml:space="preserve"> e seguintes do Novo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 xml:space="preserve"> e pelas razões de fato e de direito a seguir aduzidas: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requerente contraiu núpcias com o requerido no dia TAL pelo regime legal da comunhão parcial de bens nos termos da cópia da certidão de casamento anexa (documento 00).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Desta união nasceram os seguintes filhos (documento 00):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color w:val="FF0000"/>
          <w:spacing w:val="2"/>
        </w:rPr>
      </w:pPr>
      <w:r>
        <w:rPr>
          <w:rFonts w:cs="Tahoma" w:ascii="Tahoma" w:hAnsi="Tahoma"/>
          <w:b/>
          <w:color w:val="FF0000"/>
          <w:spacing w:val="2"/>
        </w:rPr>
        <w:t>QUALIFICAR OS FILHOS COM CERTIDÃO DE NASCIMENTO EM ANEXO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Ocorre que se tornou impossível a vida comum.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Insta observar que, depois da Emenda Constitucional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66</w:t>
      </w:r>
      <w:r>
        <w:rPr>
          <w:rFonts w:cs="Tahoma" w:ascii="Tahoma" w:hAnsi="Tahoma"/>
          <w:spacing w:val="2"/>
        </w:rPr>
        <w:t>/2010, não mais é possível a interferência estatal na autonomia de vontade privada, principalmente no Direito de Família, proporcionando a dissolução do casamento pelo divórcio imediato, independentemente de culpa, motivação ou da prévia separação judicial.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Nada obstante, as razões que levaram a requerente à vertente ação são as seguintes, TAL.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Insta observar que requerente e requerido não chegam a um acordo quanto aos termos da dissolução do seu vínculo e, demais disso, há filhos comuns, o que demanda a intervenção judicial.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NOME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requerente voltará a usar seu nome de solteira, qual seja NOME TAL, o que requer nos termos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2º</w:t>
      </w:r>
      <w:r>
        <w:rPr>
          <w:rFonts w:cs="Tahoma" w:ascii="Tahoma" w:hAnsi="Tahoma"/>
          <w:spacing w:val="2"/>
        </w:rPr>
        <w:t xml:space="preserve">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1.578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FILHOS, GUARDA E ALIMENTOS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guarda dos filhos, que já contam com TAL e TANTOS anos será compartilhada, o que requer seja decretado com fundamento no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1.584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 xml:space="preserve"> tendo em vista que não há discordância entre requerente e requerido quanto ao tema. 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ALIMENTOS PARA A REQUERENTE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Nos termos do que ensinam Pablo Stolze Gagliano e Rodolfo Pamplona Filho: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Se o divórcio é litigioso (e obviamente judicial), o juiz poderá fixar os alimentos devidos, no bojo do próprio processo, desde que haja pedido nesse sentido. Lembre-se de que, para efeito de dissolução do vínculo, é suficiente a formulação do pedido de divórcio, uma vez que prazo para tanto não há mais. Entretanto, caso também haja sido cumulado o pedido de alimentos, a sua fixação será feita por decisão judicial, levando-se em conta apenas, como já dito, o binômio necessidade / capacidade econômica, sem aferição de culpa de qualquer das partes no fim do casamento. É digno de nota que, seja qual for a modalidade do divórcio judicial, os alimentos devidos aos filhos é cláusula fundamental, de natureza cogente e matiz de ordem pública” (Pablo Stolze Gagliano e Rodolfo Pamplona Filho, O novo divórcio. São Paulo: Saraiva, 2010, p. 114).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Nesta medida, tendo em vista que sempre se dedicou às tarefas domésticas, a requerente necessita dos alimentos pelo período de três anos, aptos a permitir a readequação da sua vida, tendo em vista que o requerido nunca a deixou exercer atividade laborativa.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Para tanto, tendo em vista que o requerido recebe TANTO, em razão das suas atividades, o que se prova pelos documentos anexos (documento 00).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É preciso notar que o requerido TRABALHA COMO PROFISSÃO TAL.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BENS E SUA PARTILHA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Insta observar que toda a discordância quanto aos termos do divórcio entre as partes decorre da falta de consenso acerca daquilo que cabe ao requerido, ou seja, 50% (cinquenta por cento) do patrimônio pertencente ao casal, e não mais que isso, nos termos do regime matrimonial a que estão submetidos.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Isto porque, o cônjuge varão entende que faz jus a mais do que isso na exata medida em que acredita, ou faz que acredita, que (descrever a problemática dos bens).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Portanto, em razão disso, não restou alternativa à requerente senão a propositura do presente divórcio direto litigioso.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Nesta medida, segue a relação dos bens pertencentes ao casal e seus respectivos valores: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color w:val="FF0000"/>
          <w:spacing w:val="2"/>
        </w:rPr>
      </w:pPr>
      <w:r>
        <w:rPr>
          <w:rFonts w:cs="Tahoma" w:ascii="Tahoma" w:hAnsi="Tahoma"/>
          <w:b/>
          <w:color w:val="FF0000"/>
          <w:spacing w:val="2"/>
        </w:rPr>
        <w:t>TRANSCREVER OS BENS E OS RESPECTIVOS VALORES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PEDIDOS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Posta assim a questão e nos termos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226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6º</w:t>
      </w:r>
      <w:r>
        <w:rPr>
          <w:rFonts w:cs="Tahoma" w:ascii="Tahoma" w:hAnsi="Tahoma"/>
          <w:spacing w:val="2"/>
        </w:rPr>
        <w:t xml:space="preserve"> da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 xml:space="preserve">, cuja redação decorrente da Emenda Constitucional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66</w:t>
      </w:r>
      <w:r>
        <w:rPr>
          <w:rFonts w:cs="Tahoma" w:ascii="Tahoma" w:hAnsi="Tahoma"/>
          <w:spacing w:val="2"/>
        </w:rPr>
        <w:t>/2010 dispõe sobre a dissolubilidade do casamento civil pelo divórcio, suprimindo o requisito de prévia separação judicial por mais de 1 (um) ano ou de comprovada separação de fato por mais de 2 (dois) anos, requer: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a) seja citado o requerido pelo correio para contestar no prazo de 15 (quinze) dias, dispensando Vossa Excelência a audiência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695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 xml:space="preserve"> tendo em vista a absoluta impossibilidade de reconciliação e, se assim não entender Vossa Excelência, que seja a mesma marcada com a maior brevidade, devendo o requerido ser citado para nela comparecer;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b) ao final, não havendo acordo e com a contestação apresentada pelo requerido no prazo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335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>, seja julgada procedente a presente ação com a decretação do divórcio do casal e, após as formalidades legais, a expedição de mandado de averbação e de formal de partilha nos termos da lei;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c) a condenação do requerido nos alimentos devidos à requerente, durante 3 (três) anos, no valor de 1/3 dos seus vencimentos, deduzidos, apenas, os descontos fiscais e previdenciários obrigatórios, deferindo Vossa Excelência tutela provisória de urgência nos termos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297</w:t>
      </w:r>
      <w:r>
        <w:rPr>
          <w:rFonts w:cs="Tahoma" w:ascii="Tahoma" w:hAnsi="Tahoma"/>
          <w:spacing w:val="2"/>
        </w:rPr>
        <w:t xml:space="preserve"> do Novo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>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d) a partilha dos bens dos cônjuges na proporção de 50 % (cinquenta por cento) para cada um, com as necessárias averbações;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e) a alteração do nome da requerente, para que torne a assinar o nome de solteira TAL com expedição de mandado ao Oficial de registro Civil para a competente averbação;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f) a condenação do requerido ao pagamento de custas e honorários por ter dado causa à presente demanda litigiosa.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Tendo em vista que não há interesse de incapazes posto que a guarda e os alimentos dos filhos estão sendo discutidos em ação própria, requer-se, nos termos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698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 xml:space="preserve"> a dispensa da oitiva do Representante do Ministério Público.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DAS PROVAS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 por provar o alegado por meio de todos os meios de prova em direito admitidos, em especial pela produção de prova documental, testemunhal, pericial e inspeção judicial, além da juntada de novos documentos e demais meios que se fizerem necessários.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VALOR DA CAUSA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à causa o valor de R$ 00000000 (REAIS), para os efeitos fiscais.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  <w:br/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4b409d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5621b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a016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a016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b40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5621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a016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a016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6</Pages>
  <Words>1056</Words>
  <Characters>5318</Characters>
  <CharactersWithSpaces>6330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2018-12-03T10:26:00Z</dcterms:created>
  <dc:creator>Andre</dc:creator>
  <dc:description/>
  <dc:language>pt-BR</dc:language>
  <cp:lastModifiedBy/>
  <dcterms:modified xsi:type="dcterms:W3CDTF">2020-04-15T14:58:48Z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