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DOUTO JUÍZO DE DIREITO DA 00ª VARA CÍVEL/FAMÍLIA DA COMARCA DE CIDADE-UF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com Documento de Identidade de n° 000000 residente e domiciliado na </w:t>
      </w:r>
      <w:bookmarkStart w:id="1" w:name="_Hlk482693071"/>
      <w:r>
        <w:rPr>
          <w:rFonts w:cs="Tahoma" w:ascii="Tahoma" w:hAnsi="Tahoma"/>
          <w:spacing w:val="2"/>
        </w:rPr>
        <w:t xml:space="preserve">Rua TAL, nº 0000000, bairro TAL, CEP 0000000, </w:t>
      </w:r>
      <w:bookmarkEnd w:id="1"/>
      <w:r>
        <w:rPr>
          <w:rFonts w:cs="Tahoma" w:ascii="Tahoma" w:hAnsi="Tahoma"/>
          <w:spacing w:val="2"/>
        </w:rPr>
        <w:t>CIDADE-UF, vem respeitosamente perante a Vossa Excelência propor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762"/>
      <w:bookmarkStart w:id="3" w:name="_Hlk482880626"/>
      <w:bookmarkStart w:id="4" w:name="_Hlk482884762"/>
      <w:bookmarkStart w:id="5" w:name="_Hlk482880626"/>
      <w:bookmarkEnd w:id="4"/>
      <w:bookmarkEnd w:id="5"/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AÇÃO DE DIVÓRCIO, REGULAMENTAÇÃO DE GUARDA C/C OFERTA DE ALIMENTOS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bookmarkStart w:id="6" w:name="more"/>
      <w:bookmarkEnd w:id="6"/>
      <w:r>
        <w:rPr>
          <w:rFonts w:cs="Tahoma" w:ascii="Tahoma" w:hAnsi="Tahoma"/>
          <w:spacing w:val="2"/>
        </w:rPr>
        <w:t>em face de Fulano de TAL, indicar se é pessoa física ou jurídica com CPF/CNPJ de nº 0000000000, com sede na Rua TAL, nº 00000, bairro TAL, CEP 000000, CIDADE-UF, pelas razões de fato e de direito que passa a aduzir e no final requer</w:t>
      </w:r>
      <w:bookmarkStart w:id="7" w:name="_Hlk482884621"/>
      <w:bookmarkEnd w:id="7"/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BENEFÍCIOS DA JUSTIÇA GRATUITA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parte Autora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não tem co</w:t>
      </w:r>
      <w:bookmarkStart w:id="8" w:name="_GoBack"/>
      <w:bookmarkEnd w:id="8"/>
      <w:r>
        <w:rPr>
          <w:rFonts w:cs="Tahoma" w:ascii="Tahoma" w:hAnsi="Tahoma"/>
          <w:bCs/>
          <w:color w:val="000000" w:themeColor="text1"/>
          <w:sz w:val="24"/>
          <w:szCs w:val="24"/>
        </w:rPr>
        <w:t>ndições de arcar com as despesas do processo</w:t>
      </w:r>
      <w:r>
        <w:rPr>
          <w:rFonts w:cs="Tahoma" w:ascii="Tahoma" w:hAnsi="Tahoma"/>
          <w:color w:val="000000" w:themeColor="text1"/>
          <w:sz w:val="24"/>
          <w:szCs w:val="24"/>
        </w:rPr>
        <w:t>, uma vez que são insuficientes seus recursos financeiros para pagar todas as despesas processuais, inclusive o recolhimento das custas iniciais.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o Demandante ora formula pleito de gratuidade da justiça, o que faz por declaração de seu patrono, sob a égide do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NCPC,</w:t>
      </w:r>
      <w:r>
        <w:rPr>
          <w:rFonts w:cs="Tahoma" w:ascii="Tahoma" w:hAnsi="Tahoma"/>
          <w:color w:val="000000" w:themeColor="text1"/>
          <w:sz w:val="24"/>
          <w:szCs w:val="24"/>
        </w:rPr>
        <w:t>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art. 99, § 4º c/c NCPC, art. 105,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in fine</w:t>
      </w:r>
      <w:r>
        <w:rPr>
          <w:rFonts w:cs="Tahoma" w:ascii="Tahoma" w:hAnsi="Tahoma"/>
          <w:color w:val="000000" w:themeColor="text1"/>
          <w:sz w:val="24"/>
          <w:szCs w:val="24"/>
        </w:rPr>
        <w:t>, quando tal prerrogativa se encontra inserta no instrumento procuratório acostado.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 partes casaram-se na data TAL, conforme se verifica na inclusa certidão, sob o regime de comunhão parcial de bens.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de tal união o casal teve uma filha, a menor impubere Beltrana de TAL, com idade TAL.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Que em virtude de desavenças ocorridas entre as partes e incompatibilidade, os mesmos se encontram separados de fato desde DATA TAL, permanecendo a cônjuge mulher no imóvel residencial, situado à Rua TAL.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desde a data da separação de fato a ré mantem a tutela de fato da menor impúbere, a qual não concorda ante a possibilidade de haver uma guarda compartilhada, motivo este que não vem permitindo o contato do autor com sua filha, utilizando-se do seu sentimento de indignação pelo fim do relacionamento como instrumento para impedir o autor de ver sua filha.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forma, o autor encontra-se em um enorme desconforto, haja vista este sempre ter cumprido com suas obrigações sejam elas no aspecto familiar, financeiro, moral e legal. Reitera-se que em momento algum fora cometido qualquer atitude que justificasse o óbice que a demandada impõe em permanecer o seu convívio harmônico e voluntario, motivo este que o autor demanda a presente ação, uma vez que não fora possível de maneira consensual resolver a presente lide.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pt-PT"/>
        </w:rPr>
        <w:t>DOS BENS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O casal possui os seguintes bens: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bCs/>
          <w:color w:val="000000" w:themeColor="text1"/>
          <w:sz w:val="24"/>
          <w:szCs w:val="24"/>
          <w:lang w:val="pt-PT"/>
        </w:rPr>
        <w:t>a)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 Móveis que compõe a residência do casal, situada nesta cidade, à Rua TAL, e que estão na posse e uso da cônjuge virago, sendo todos este adquiridos antes da constacia do casamento;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estes: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FF0000"/>
          <w:sz w:val="24"/>
          <w:szCs w:val="24"/>
        </w:rPr>
      </w:pPr>
      <w:r>
        <w:rPr>
          <w:rFonts w:cs="Tahoma" w:ascii="Tahoma" w:hAnsi="Tahoma"/>
          <w:b/>
          <w:color w:val="FF0000"/>
          <w:sz w:val="24"/>
          <w:szCs w:val="24"/>
        </w:rPr>
        <w:t>DESCREVER OS BENS MÓVEIS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Um imóvel urbano, situado nesta cidade, à Rua TAL composto por uma casa residencial, que possui a área total de TANTOS METROS, que se encontra matriculado no Serviço Registral Imobiliário desta Comarca, sob a matrícula TAL, do livro de Registro Geral, conforme certidão anexa, que se encontra sob uso da cônjuge virago.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Este imóvel encontra-se quitado, com a data de quitação no dia TAL, com valor de avaliação de R$ 0000000000 (REAIS).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Todavia, cumpre ressaltar que o imóvel em comento possui valor superior ao retro mencionado, considerando terem sido realizadas benfeitorias no imóvel e a natural valorização do bem no decurso de TANTOS ANOS.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que dispõe o art. 1.658 do Código Civil: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pt-PT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val="pt-PT"/>
        </w:rPr>
        <w:t>no regime de comunhão parcial, COMUNICAM-SE os bens que sobrevierem ao casal, na constância do casamento”.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Assim tem entendido o TJ: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FF0000"/>
          <w:sz w:val="24"/>
          <w:szCs w:val="24"/>
        </w:rPr>
      </w:pPr>
      <w:r>
        <w:rPr>
          <w:rFonts w:cs="Tahoma" w:ascii="Tahoma" w:hAnsi="Tahoma"/>
          <w:b/>
          <w:color w:val="FF0000"/>
          <w:sz w:val="24"/>
          <w:szCs w:val="24"/>
          <w:lang w:val="pt-PT"/>
        </w:rPr>
        <w:t>CITAR JURISPRUDÊNCIA DO SEU ESTADO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De acordo com o disposto na Emenda Constitucional nº 66/10, o casamento civil pode ser dissolvido pelo divórcio, independentemente da prévia separação do casal: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pt-PT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val="pt-PT"/>
        </w:rPr>
        <w:t>CONSTITUCIONAL - FAMÍLIA - DISSOLUÇÁO DO CASAMENTO CIVIL DIVÓRCIO - REQUISITO PRÉVIO E TEMPORAL - SEPARAÇÃO JUDICIAL OU DE FATO - EMENDA CONSTITUCIONAL N.º 66/2010 – SUPRESSÃO EXPLICITAÇÃO EXISTENTE NO PREÁMBULO - INCONTROVÉRSIA. Para fins de divórcio, mostra-se suficiente simples pedido do (s) cônjuge (3), sem que esteja atrelado a qualquer causa de pedir, considerando suprimido, ademais, o requisito de prévia separação judicial por mais de I (um) ano ou de comprovada separação de fato por mais de 2 (dois) anos (Apelação Cível 1.01 05. 09.302318-9/ 001, Rel. Des. (a) Manuel Saramago, 5ª CÁMARA CÍVEL do TJMG, julgamento em 12/01/2012, publicação da súmula em 24/01/2012)”.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Considerando-se que o casal já se encontra efetivamente separado de fato, desde o dia TAL, tem-se como necessária somente seja legitimada a situação já preexistente (TJMG, AI 202.701-9/00).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GUARDA COMPARTILHADA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13.058/2014 estabelece que, por regra, a guarda deve ser compartilhada. Dessa forma pede-se que seja deferido o pedido de guarda compartilhada, tendo em vista que ambos, a autora e o réu têm a possibilidade de exercer a guarda compartilhada.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 é o entendimento do STJ: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Direito da criança e do adolescente. Recurso especial. Ação de guarda de menores ajuizada pelo pai em face da mãe. 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Prevalência do melhor interesse da criança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. Melhores condições.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Ao exercício da guarda sobrepõe-se o princípio do melhor interesse da criança e do adolescente, que não se pode delir, em momento algum, porquanto o instituto da guarda foi concebido, de rigor, para proteger o menor, para colocá-lo a salvo de situação de perigo, tornando perene sua ascensão à vida adulta. 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Não há, portanto, tutela de interesses de uma ou de outra parte em processos deste jaez; há, tão-somente, a salvaguarda do direito da criança e do adolescente, de ter, para si prestada, assistência material, moral e educacional, nos termos do art. 33 do ECA.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Devem as partes pensar, de forma comum, no bem-estar dos menores, sem intenções egoísticas, caprichosas, ou ainda, de vindita entre si, tudo isso para que possam – os filhos – usufruir harmonicamente da família que possuem, tanto a materna, quanto a paterna, porque toda criança ou adolescente tem direito a ser criado e educado no seio da sua família, conforme dispõe o art. 19 do ECA.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guarda deverá ser atribuída ao genitor que revele melhores condições para exercê-la e, objetivamente, maior aptidão para propiciar ao filho afeto – não só no universo genitor-filho como também no do grupo familiar e social em que está a criança ou o adolescente inserido –, saúde, segurança e educação.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Melhores condições, para o exercício da guarda de menor, evidencia, acima de tudo, o atendimento ao melhor interesse da criança, no sentido mais completo alcançável, sendo que o aparelhamento econômico daquele que se pretende guardião do menor deve estar perfeitamente equilibrado com todos os demais fatores sujeitos à prudente ponderação exercida pelo Juiz que analisa o processo.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Aquele que apenas apresenta melhores condições econômicas, sem contudo, ostentar equilíbrio emocional tampouco capacidade afetiva para oferecer à criança e ao adolescente toda a bagagem necessária para o seu desenvolvimento completo, como amor, carinho, educação, comportamento moral e ético adequado, urbanidade e civilidade, não deve, em absoluto, subsistir à testa da criação de seus filhos, sob pena de causar-lhes irrecuperáveis prejuízos, com sequelas que certamente serão carregadas para toda a vida adulta.</w:t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conjunto probatório apresentado no processo atesta que a mãe oferece melhores condições de exercer a guarda, revelando, em sua conduta, plenas condições de promover a educação dos menores, bem assim, de assegurar a efetivação de seus direitos e facultar o desenvolvimento físico, mental, emocional, moral, espiritual e social dos filhos, em condições de liberdade e de dignidade, deve a relação materno-filial ser assegurada, sem prejuízo da relação paterno-filial, preservada por meio do direito de visitas.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O pai, por conseguinte, deverá ser chamado para complementar monetariamente em caráter de alimentos, no tocante ao sustento dos filhos, dada sua condição financeira relativamente superior à da mãe, o que não lhe confere, em momento algum, preponderância quanto à guarda dos filhos, somente porque favorecido neste aspecto, peculiaridade comum à grande parte dos ex-cônjuges ou ex-companheiros.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Considerado o atendimento ao melhor interesse dos menores, bem assim, manifestada em Juízo a vontade destes, de serem conduzidos e permanecerem na companhia da mãe, deve ser atribuída a guarda dos filhos à genitora, invertendo-se o direito de visitas.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Os laços afetivos, em se tratando de guarda disputada entre pais, em que ambos seguem exercendo o poder familiar, devem ser amplamente assegurados, com tolerância, ponderação e harmonia, de forma a conquistar, sem rupturas, o coração dos filhos gerados, e, com isso, ampliar ainda mais os vínculos existentes no seio da família, esteio da sociedade.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Recurso especial julgado, todavia, prejudicado, ante o julgamento do mérito do processo.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(STJ – REsp 964836/BA – Relatora Ministra Nancy Andrighi – 3ª. Turma – Data do Julgamento 02/04/2009 – Dje 04/08/2009).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isto, o que pleiteia o autor, é apenas que não seja impedido de participar da criação de sua filha, podendo através de prévio aviso visita-la e realizar todas demais obrigações como genitor, de forma harmônica.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OFERTA DE ALIMENTOS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Encontra-se o Autor em momento financeiro frágil, posto que desde a separação de fato este encontra-se subsistindo através de “bicos” como educador social, sem contratante fixo, visto que com o súbito fim de relacionamento perdeu seu trabalho, e, inclusive, seus instrumentos de trabalho permanecem sob a posse da cônjuge virago, encontrando enorme dificuldade em se estabilizar.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os fatos expostos, o demandante compromete-se a arcar com a quantia de 20% (vinte por cento) do salário mínimo, por ser este um valor possível de ser adimplido, posto que este ainda possui outra filha menor de idade.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REQUERIMENTOS</w:t>
      </w:r>
    </w:p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requer: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deferimento do pedido a fim de que seja concedida a JUSTIÇA GRATUITA, ante a comprovação pelo Requerente de que faz jus ao benefício, consoante os arts. 99 e seguintes do NCPC e a Lei nº </w:t>
      </w:r>
      <w:hyperlink r:id="rId2" w:tgtFrame="Lei nº 1.060, de 5 de fevereiro de 195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sz w:val="24"/>
          <w:szCs w:val="24"/>
        </w:rPr>
        <w:t>/50;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 seja julgado procedente a TUTELA ANTECIPADA para que seja concedida a guarda compartilhada dos filhos, nos termos especificados acima, levando em consideração o interesse da menor impúbere, conforme o principio estabelecido no ECA do melhor interesse do menor, haja vista a irreparabilidade que o afastamento do pai pode gerar em sua formação afetiva, psíquica e intelectual;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Caso não seja esse o entendimento, que seja provida a Guarda Compartilhada ao fim desta demandada;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fixação de alimentos provisórios em 20% (vinte por cento) dos ganhos do REQUERENTE;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Seja julgada procedente a presente ação, convertendo-se os alimentos provisórios fixados em definitivos;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2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CITAR o réu, no endereço mencionado, para responder a presente, querendo, sob pena de sofrer os efeitos da revelia;</w:t>
      </w:r>
    </w:p>
    <w:p>
      <w:pPr>
        <w:pStyle w:val="NormalWeb"/>
        <w:shd w:val="clear" w:color="auto" w:fill="FFFFFF"/>
        <w:spacing w:lineRule="auto" w:line="360" w:beforeAutospacing="0" w:before="0" w:afterAutospacing="0" w:after="200"/>
        <w:ind w:left="1068" w:hanging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2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Que seja condenado ao pagamento da proporção de 50% referente do imóvel a ser vendido, qual necessita de nova avaliação, haja vista as benfeitorias realizadas no mesmo, bem como, seja decretado o DIVÓRCIO LITIGIOSO do casal, voltando a requerente ter o nome de solteira.</w:t>
      </w:r>
    </w:p>
    <w:p>
      <w:pPr>
        <w:pStyle w:val="NormalWeb"/>
        <w:shd w:val="clear" w:color="auto" w:fill="FFFFFF"/>
        <w:spacing w:lineRule="auto" w:line="360" w:beforeAutospacing="0" w:before="0" w:afterAutospacing="0" w:after="200"/>
        <w:ind w:left="1068" w:hanging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2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Seja determinado ao cartório competente a averbação do divórcio na forma da lei.</w:t>
      </w:r>
    </w:p>
    <w:p>
      <w:pPr>
        <w:pStyle w:val="NormalWeb"/>
        <w:shd w:val="clear" w:color="auto" w:fill="FFFFFF"/>
        <w:spacing w:lineRule="auto" w:line="360" w:beforeAutospacing="0" w:before="0" w:afterAutospacing="0" w:after="200"/>
        <w:ind w:left="1068" w:hanging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2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Seja o Requerido condenado, pelo principio da sucumbência, (art.</w:t>
      </w:r>
      <w:r>
        <w:rPr>
          <w:rStyle w:val="Appleconvertedspace"/>
          <w:rFonts w:cs="Tahoma" w:ascii="Tahoma" w:hAnsi="Tahoma"/>
          <w:color w:val="000000" w:themeColor="text1"/>
          <w:spacing w:val="2"/>
        </w:rPr>
        <w:t> </w:t>
      </w:r>
      <w:hyperlink r:id="rId3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20</w:t>
        </w:r>
      </w:hyperlink>
      <w:r>
        <w:rPr>
          <w:rStyle w:val="Appleconvertedspace"/>
          <w:rFonts w:cs="Tahoma" w:ascii="Tahoma" w:hAnsi="Tahoma"/>
          <w:color w:val="000000" w:themeColor="text1"/>
          <w:spacing w:val="2"/>
        </w:rPr>
        <w:t> </w:t>
      </w:r>
      <w:r>
        <w:rPr>
          <w:rFonts w:cs="Tahoma" w:ascii="Tahoma" w:hAnsi="Tahoma"/>
          <w:color w:val="000000" w:themeColor="text1"/>
          <w:spacing w:val="2"/>
        </w:rPr>
        <w:t xml:space="preserve">do 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pacing w:val="2"/>
        </w:rPr>
        <w:t>) a honrar os honorários advocatícios sobre o valor da ação, nos usuais 20%, custas e demais cominações legai</w:t>
      </w:r>
    </w:p>
    <w:p>
      <w:pPr>
        <w:pStyle w:val="NormalWeb"/>
        <w:shd w:val="clear" w:color="auto" w:fill="FFFFFF"/>
        <w:spacing w:lineRule="auto" w:line="360" w:beforeAutospacing="0" w:before="0" w:afterAutospacing="0" w:after="200"/>
        <w:ind w:left="1068" w:hanging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  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Requer a intervenção do representante do Ministério Público haja vista a presente demanda se tratar do interesse de menor;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 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 xml:space="preserve">Requer que os presentes autos corram sobre </w:t>
      </w:r>
      <w:r>
        <w:rPr>
          <w:rFonts w:cs="Tahoma" w:ascii="Tahoma" w:hAnsi="Tahoma"/>
          <w:sz w:val="24"/>
          <w:szCs w:val="24"/>
          <w:lang w:val="pt-PT"/>
        </w:rPr>
        <w:t>SEGREDO DE JUSTIÇA haja vista a presente demanda se tr</w:t>
      </w: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atar de hipótese prevista no art. 189, II, do NCPC;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Protesta-se por provar o alegado por todos os meios de provas admitidas pelo Direito.</w:t>
      </w:r>
    </w:p>
    <w:p>
      <w:pPr>
        <w:pStyle w:val="ListParagraph"/>
        <w:spacing w:lineRule="auto" w:line="360"/>
        <w:ind w:left="10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Dá-se a causa o valor de R$ 00000000 (REAIS).</w:t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  <w:bookmarkStart w:id="9" w:name="_Hlk482880653"/>
      <w:bookmarkEnd w:id="9"/>
    </w:p>
    <w:p>
      <w:pPr>
        <w:pStyle w:val="Normal"/>
        <w:spacing w:lineRule="auto" w:line="360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6c7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567d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1567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1567d"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8156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nkdaInternet">
    <w:name w:val="Link da Internet"/>
    <w:basedOn w:val="DefaultParagraphFont"/>
    <w:uiPriority w:val="99"/>
    <w:unhideWhenUsed/>
    <w:rsid w:val="0081567d"/>
    <w:rPr>
      <w:color w:val="0000FF" w:themeColor="hyperlink"/>
      <w:u w:val="single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16c7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f00bf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468f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567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15e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00b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468f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10736397/artigo-20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LibreOffice/6.4.2.2$Windows_X86_64 LibreOffice_project/4e471d8c02c9c90f512f7f9ead8875b57fcb1ec3</Application>
  <Pages>10</Pages>
  <Words>1890</Words>
  <Characters>9959</Characters>
  <CharactersWithSpaces>11782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2016-09-29T15:11:00Z</dcterms:created>
  <dc:creator>Asus</dc:creator>
  <dc:description/>
  <dc:language>pt-BR</dc:language>
  <cp:lastModifiedBy/>
  <dcterms:modified xsi:type="dcterms:W3CDTF">2020-04-15T14:59:30Z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