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spacing w:val="2"/>
        </w:rPr>
      </w:pPr>
      <w:bookmarkStart w:id="0" w:name="_Hlk482887329"/>
      <w:bookmarkEnd w:id="0"/>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bookmarkStart w:id="1" w:name="_Hlk482887329"/>
      <w:bookmarkStart w:id="2" w:name="_Hlk482887329"/>
      <w:bookmarkEnd w:id="2"/>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3" w:name="_Hlk482693071"/>
      <w:r>
        <w:rPr>
          <w:rFonts w:cs="Tahoma" w:ascii="Tahoma" w:hAnsi="Tahoma"/>
          <w:spacing w:val="2"/>
        </w:rPr>
        <w:t>Rua TAL, nº 00000000, Bairro TAL, CEP: 000000, CIDADE/UF</w:t>
      </w:r>
      <w:bookmarkEnd w:id="3"/>
      <w:r>
        <w:rPr>
          <w:rFonts w:cs="Tahoma" w:ascii="Tahoma" w:hAnsi="Tahoma"/>
          <w:spacing w:val="2"/>
        </w:rPr>
        <w:t>, vem respeitosamente perante a Vossa Excelência propor:</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4" w:name="_Hlk482884762"/>
      <w:bookmarkStart w:id="5" w:name="_Hlk482880626"/>
      <w:bookmarkStart w:id="6" w:name="_Hlk482884762"/>
      <w:bookmarkStart w:id="7" w:name="_Hlk482880626"/>
      <w:bookmarkEnd w:id="6"/>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REINTEGRAÇÃO DE POSSE COM PEDIDO LIMINAR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8" w:name="_Hlk482884621"/>
      <w:bookmarkStart w:id="9" w:name="_Hlk483225481"/>
      <w:bookmarkStart w:id="10" w:name="_Hlk482884621"/>
      <w:bookmarkStart w:id="11" w:name="_Hlk483225481"/>
      <w:bookmarkEnd w:id="10"/>
      <w:bookmarkEnd w:id="11"/>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é proprietário do imóvel urbano localizado na Rua TAL, consoante atesta na escritura pública do imóvel, DOC. EM ANEXO, imóvel este que está indevidamente ocupado pelo demandante, que se recusa terminantemente a devolvê-lo.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imóvel objeto do litígio sempre esteve na posse do autor e seus familiares, porém, colocou o imóvel para alugar no dia DIA/MÊS/ANO, informando através de uma placar com o nome “ALUGA-SE” na frente do imóvel, vez que o promovido entrou em contato com o promovente e começaram a negociar a aluguel do imóvel. Logo foi fechada a negociação e o imóvel foi alugado ao promovido pelo valor de R$ 000000 (REAIS), contrato feito por 00 (NÚMERO) ano, do dia DIA/MÊS/ANO à DIA/MÊS/ANO, DOC.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 final do período contratual foi feito novo contrato, esse reajustado o valor do aluguel para R$ 0000 (REAIS) e por mais 00 (NÚMERO), DIA/MÊS/ANO à DIA/MÊS/ANO ano, DOC. EM ANEXO, novamente o contrato foi renovado ao final do segundo contrato, agora com o valor de R$ 000000 (REAIS), e agora por mais 00 (NÚMERO) anos, DIA/MÊS/ANO à DIA/MÊS/ANO. Ao final do terceiro contrato de aluguel do imóvel, o promovente não quis mais renovar o contrato, avisando ao promovido que queria o imóvel de volta, pois sua filha mais velha iria casar e com isso morar no referido imóvel, o fato é que o contrato foi extinto com seu término e como não foi renovado o contrato um dos deveres do promovido é entregar o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Ciente de seus direitos, que estão positivados em vários diplomas legais e que apresentarei mais adiante, o autor ainda deu um prazo de 00 (NÚMERO) dias para o promovido desocupar o imóvel, tendo tempo suficiente procurar outro imóvel para morar.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Passado o lapso temporal dos 00 (NÚMERO) dias, o promovido afirmou que não iria desocupar do imóvel. Inconformado com toda esta situação, não restou outra alternativa ao autor se não a busca da tutela jurisdicional para reaver a posse de seu imóvel, tendo em vista que as tentativas de resolver o conflito amigavelmente tornaram-se frustradas.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legislador Pátrio, ao disciplinar a organização social brasileira, entendeu por bem assegurar a todo aquele que tiver sido privado de sua posse, injustamente, por violência, clandestinidade ou precariedade, o direito de nela ser restituído. Portanto, ao negar-se a restituir a posse, esta se tornou injusta, em razão da precariedade.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 lição de TITO FULGÊNCIO: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Precária é a posse que se origina do abuso de confiança: alguém recebe uma coisa por um título que o obriga à restituição, em prazo certo ou incerto, como por empréstimo ou aluguel, e recusa injustamente a fazer a entrega.” (FULGÊNCIO, T. Da Posse e Das Ações Possessórias. 9ª ed. Ver. E atual. Por José de Aguiar Dias. Rio de Janeiro: Forense, 1997. Vol. I. P.39.)</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LIMINAR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 tratar da manutenção e da reintegração de posse, dispõe a lei processual no seu artigo Art. 562. “Estando a petição inicial devidamente instruída, o juiz deferirá, sem ouvir o réu, a expedição do mandado liminar de manutenção ou de reintegração, caso contrário, determinará que o autor justifique previamente o alegado, citando se o réu para comparecer à audiência que for designada”. Máxima vênia, entendemos que o deferimento de medida liminar de natureza possessória, nos termos dos artigos </w:t>
      </w:r>
      <w:hyperlink r:id="rId2" w:tgtFrame="Artigo 554 da Lei nº 13.105 de 16 de Março de 2015">
        <w:r>
          <w:rPr>
            <w:rStyle w:val="LinkdaInternet"/>
            <w:rFonts w:cs="Tahoma" w:ascii="Tahoma" w:hAnsi="Tahoma"/>
            <w:color w:val="000000" w:themeColor="text1"/>
            <w:sz w:val="24"/>
            <w:szCs w:val="24"/>
            <w:u w:val="none"/>
          </w:rPr>
          <w:t>554</w:t>
        </w:r>
      </w:hyperlink>
      <w:r>
        <w:rPr>
          <w:rFonts w:cs="Tahoma" w:ascii="Tahoma" w:hAnsi="Tahoma"/>
          <w:color w:val="000000" w:themeColor="text1"/>
          <w:sz w:val="24"/>
          <w:szCs w:val="24"/>
        </w:rPr>
        <w:t> e seguintes do </w:t>
      </w:r>
      <w:hyperlink r:id="rId3"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fica à deriva da comprovação do implemento dos requisitos do artigo </w:t>
      </w:r>
      <w:hyperlink r:id="rId4" w:tgtFrame="Artigo 561 da Lei nº 13.105 de 16 de Março de 2015">
        <w:r>
          <w:rPr>
            <w:rStyle w:val="LinkdaInternet"/>
            <w:rFonts w:cs="Tahoma" w:ascii="Tahoma" w:hAnsi="Tahoma"/>
            <w:color w:val="000000" w:themeColor="text1"/>
            <w:sz w:val="24"/>
            <w:szCs w:val="24"/>
            <w:u w:val="none"/>
          </w:rPr>
          <w:t>561</w:t>
        </w:r>
      </w:hyperlink>
      <w:r>
        <w:rPr>
          <w:rFonts w:cs="Tahoma" w:ascii="Tahoma" w:hAnsi="Tahoma"/>
          <w:color w:val="000000" w:themeColor="text1"/>
          <w:sz w:val="24"/>
          <w:szCs w:val="24"/>
        </w:rPr>
        <w:t> do referido Diploma Legal, independentemente de restarem configuradas as condições do artigo </w:t>
      </w:r>
      <w:hyperlink r:id="rId5"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xml:space="preserve"> do </w:t>
      </w:r>
      <w:hyperlink r:id="rId6"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jusrisprudência é pacifica, nesse sentido,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DE INSTRUMENTO. POSSE (BENS IMÓVEIS). AÇÃO DE REINTEGRAÇÃO DE POSSE. LIMINAR. Presentes os requisitos do artigo </w:t>
      </w:r>
      <w:hyperlink r:id="rId7" w:tgtFrame="Artigo 927 da Lei nº 5.869 de 11 de Janeiro de 1973">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8" w:tgtFrame="Lei no 5.869, de 11 de janeiro de 1973.">
        <w:r>
          <w:rPr>
            <w:rStyle w:val="LinkdaInternet"/>
            <w:rFonts w:cs="Tahoma" w:ascii="Tahoma" w:hAnsi="Tahoma"/>
            <w:b/>
            <w:bCs/>
            <w:i w:val="false"/>
            <w:iCs w:val="false"/>
            <w:color w:val="auto"/>
            <w:sz w:val="20"/>
            <w:szCs w:val="20"/>
            <w:u w:val="none"/>
          </w:rPr>
          <w:t>Código de Processo Civil</w:t>
        </w:r>
      </w:hyperlink>
      <w:r>
        <w:rPr>
          <w:rFonts w:cs="Tahoma" w:ascii="Tahoma" w:hAnsi="Tahoma"/>
          <w:b/>
          <w:bCs/>
          <w:i w:val="false"/>
          <w:iCs w:val="false"/>
          <w:color w:val="auto"/>
          <w:sz w:val="20"/>
          <w:szCs w:val="20"/>
        </w:rPr>
        <w:t>, mantémse a decisão que deferiu pedido liminar de reintegração de posse. RECURSO DESPROVIDO. UNÂNIME. (Agravo de Instrumento Nº 70040290744, Décima Sétima Câmara Cível, Tribunal de Justiça do RS, Relator: Liege Puricelli Pires, Julgado em 17/02/2011)” “POSSESSÓRIA. LIMINAR. Liminar em ação de reintegração de posse. Concessão. Incontroversa a posse anterior e o esbulho recentemente praticado. Art. </w:t>
      </w:r>
      <w:hyperlink r:id="rId9" w:tgtFrame="Artigo 927 da Lei nº 5.869 de 11 de Janeiro de 1973">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10"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Relação de contrato verbal entre as partes. Livre exame da prova pelo Juiz. Seguimento negado ao agravo. (Agravo de Instrumento Nº 70041160755, Décima Nona Câmara Cível, Tribunal de Justiça do RS, Relator: Carlos Rafael dos Santos Júnior, Julgado em 10/02/2011)”.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feita, douto, a presente peça de ingresso, traz provas que demonstram ser o autor posseiro/possuidor do imóvel a qual teve a sua posse turbada. Assim Requer seja deferido mandado de reintegração na posse ou alternativamente mandado de manutenção LIMINAR.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primeiro lugar, tem-se a propriedade privada inserida no âmbito dos direitos e garantias fundamentais do indivíduo: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5. - Todos são iguais perante a lei, sem distinção de qualquer natureza, garantindo-se aos brasileiros, e aos estrangeiros residentes no País a inviolabilidade do direito à vida, à liberdade, à igualdade, à segurança e a propriedade, nos termos seguintes: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XXII – é garantido o direito de propriedade;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assegurar os direitos e também exigir os deveres, tanto ao locador como ao locatário, a lei nº </w:t>
      </w:r>
      <w:hyperlink r:id="rId11" w:tgtFrame="Lei no 8.245, de 18 de outubro de 1991.">
        <w:r>
          <w:rPr>
            <w:rStyle w:val="LinkdaInternet"/>
            <w:rFonts w:cs="Tahoma" w:ascii="Tahoma" w:hAnsi="Tahoma"/>
            <w:color w:val="000000" w:themeColor="text1"/>
            <w:sz w:val="24"/>
            <w:szCs w:val="24"/>
            <w:u w:val="none"/>
          </w:rPr>
          <w:t>8.245</w:t>
        </w:r>
      </w:hyperlink>
      <w:r>
        <w:rPr>
          <w:rFonts w:cs="Tahoma" w:ascii="Tahoma" w:hAnsi="Tahoma"/>
          <w:color w:val="000000" w:themeColor="text1"/>
          <w:sz w:val="24"/>
          <w:szCs w:val="24"/>
        </w:rPr>
        <w:t>/1991, conhecida como </w:t>
      </w:r>
      <w:hyperlink r:id="rId12" w:tgtFrame="Lei no 8.245, de 18 de outubro de 1991.">
        <w:r>
          <w:rPr>
            <w:rStyle w:val="LinkdaInternet"/>
            <w:rFonts w:cs="Tahoma" w:ascii="Tahoma" w:hAnsi="Tahoma"/>
            <w:color w:val="000000" w:themeColor="text1"/>
            <w:sz w:val="24"/>
            <w:szCs w:val="24"/>
            <w:u w:val="none"/>
          </w:rPr>
          <w:t>lei do inquilinato</w:t>
        </w:r>
      </w:hyperlink>
      <w:r>
        <w:rPr>
          <w:rFonts w:cs="Tahoma" w:ascii="Tahoma" w:hAnsi="Tahoma"/>
          <w:color w:val="000000" w:themeColor="text1"/>
          <w:sz w:val="24"/>
          <w:szCs w:val="24"/>
        </w:rPr>
        <w:t>, traz em seu bojo diversos artigos que trata dessa questão. Para ilustrar o caso em tela, o seu artigo 23º, III, mosrtra que, um dos deveres do locatário é entregar o imóvel ao final do contrato: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23. O locatário é obrigado 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restituir o imóvel, finda a locação, no estado em que o recebeu, salvo as deteriorações decorrentes do seu uso normal;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 que dispõe o art 1210 do Código Civil;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1.210. O possuidor tem direito a ser mantido na posse em caso de turbação, restituído no de esbulho, e segurado de violência iminente, se tiver justo receio de ser molestado.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possuidor turbado, ou esbulhado, poderá manter-se ou restituir-se por sua própria força, contanto que o faça logo; os atos de defesa, ou de desforço, não podem ir além do indispensável à manutenção, ou restituição da posse.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Não obsta à manutenção ou reintegração na posse a alegação 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propriedade, ou de outro direito sobre a coisa. IN casu sub judice, o autor, traz prova do fato constitutivo do seu direito, ônus que lhe incumbe, nos termos do artigo 373, I, sendo que o réu, deverá, caso queira, provar acerca de fato impeditivo, modificativo ou extintivo do direito do autor (art. </w:t>
      </w:r>
      <w:hyperlink r:id="rId13" w:tgtFrame="Artigo 373 da Lei nº 13.105 de 16 de Março de 2015">
        <w:r>
          <w:rPr>
            <w:rStyle w:val="LinkdaInternet"/>
            <w:rFonts w:cs="Tahoma" w:ascii="Tahoma" w:hAnsi="Tahoma"/>
            <w:b/>
            <w:bCs/>
            <w:i w:val="false"/>
            <w:iCs w:val="false"/>
            <w:color w:val="auto"/>
            <w:sz w:val="20"/>
            <w:szCs w:val="20"/>
            <w:u w:val="none"/>
          </w:rPr>
          <w:t>373</w:t>
        </w:r>
      </w:hyperlink>
      <w:r>
        <w:rPr>
          <w:rFonts w:cs="Tahoma" w:ascii="Tahoma" w:hAnsi="Tahoma"/>
          <w:b/>
          <w:bCs/>
          <w:i w:val="false"/>
          <w:iCs w:val="false"/>
          <w:color w:val="auto"/>
          <w:sz w:val="20"/>
          <w:szCs w:val="20"/>
        </w:rPr>
        <w:t>, </w:t>
      </w:r>
      <w:hyperlink r:id="rId14" w:tgtFrame="Inciso II do Artigo 373 da Lei nº 13.105 de 16 de Março de 2015">
        <w:r>
          <w:rPr>
            <w:rStyle w:val="LinkdaInternet"/>
            <w:rFonts w:cs="Tahoma" w:ascii="Tahoma" w:hAnsi="Tahoma"/>
            <w:b/>
            <w:bCs/>
            <w:i w:val="false"/>
            <w:iCs w:val="false"/>
            <w:color w:val="auto"/>
            <w:sz w:val="20"/>
            <w:szCs w:val="20"/>
            <w:u w:val="none"/>
          </w:rPr>
          <w:t>II</w:t>
        </w:r>
      </w:hyperlink>
      <w:r>
        <w:rPr>
          <w:rFonts w:cs="Tahoma" w:ascii="Tahoma" w:hAnsi="Tahoma"/>
          <w:b/>
          <w:bCs/>
          <w:i w:val="false"/>
          <w:iCs w:val="false"/>
          <w:color w:val="auto"/>
          <w:sz w:val="20"/>
          <w:szCs w:val="20"/>
        </w:rPr>
        <w:t> do </w:t>
      </w:r>
      <w:hyperlink r:id="rId15" w:tgtFrame="LEI Nº 13.105, DE 16 DE MARÇO DE 2015.">
        <w:r>
          <w:rPr>
            <w:rStyle w:val="LinkdaInternet"/>
            <w:rFonts w:cs="Tahoma" w:ascii="Tahoma" w:hAnsi="Tahoma"/>
            <w:b/>
            <w:bCs/>
            <w:i w:val="false"/>
            <w:iCs w:val="false"/>
            <w:color w:val="auto"/>
            <w:sz w:val="20"/>
            <w:szCs w:val="20"/>
            <w:u w:val="none"/>
          </w:rPr>
          <w:t>NCPC</w:t>
        </w:r>
      </w:hyperlink>
      <w:r>
        <w:rPr>
          <w:rFonts w:cs="Tahoma" w:ascii="Tahoma" w:hAnsi="Tahoma"/>
          <w:b/>
          <w:bCs/>
          <w:i w:val="false"/>
          <w:iCs w:val="false"/>
          <w:color w:val="auto"/>
          <w:sz w:val="20"/>
          <w:szCs w:val="20"/>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Nossos tribunais de forma uníssona tem decidido;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POSSE (BENS IMÓVEIS). AÇÃO DE REINTEGRAÇÃO DE POSSE. EXCEÇÃO DE USUCAPIÃO ARGUIDA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COMO DEFESA. POSSIBILIDADE. POSSE MANSA, PACÍFICA E COM ANIMUS DOMINI POR PARTE DO RÉU. FUNÇÃO SOCIAL DA PROPRIEDADE NÃO EXERCIDA PELO AUTOR. Em que pese tenha como leito natural evidentemente a ação petitória, não se pode afastar a defesa por meio de exceção de usucapião das possessórias, haja vista que não será discutido domínio, apenas a melhor posse. Comprovada posse mansa, pacífica e com animus domini por parte do demandado por mais de dez anos, é de ser acolhida a exceção arguida. Acolhimento que, distintamente do que ocorre na ação própria, não tem em efeito mandamental, considerada a ausência de angularização plúrima do processo e intervenção do Ministério Público. Julgamento de improcedência do pedido reintegratório, até porque comprovado, no caso concreto, que o autor não destinava qualquer função ao imóvel.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RECURSO PROVIDO À UNANIMIDADE. (Apelação Cível Nº 70046370144, Décima Sétima Câmara Cível, Tribunal de Justiça do RS, Relator: Liege Puricelli Pires, Julgado em 10/05/2012)</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APELAÇÃO CÍVEL. POSSE (BENS IMÓVEIS). AÇÃO DE REINTEGRAÇÃO DE POSSE. IMPOSSIBILIDADE JURÍDICA DO PEDIDO NÃO CONFIGURADA. POSSE ANTERIOR COMPROVADA. INDENIZAÇÃO PELAS ACESSÕES REALIZADAS. DIREITO DE RETENÇÃO. CABIMENTO. AGRAVO RETIDO PREJUDICADO. I. Baseando-se o autor da demanda possessória não apenas no título de propriedade, hipótese que autorizaria apenas o ajuizamento da competente ação petitória, mas também na alegação de posse anterior ao esbulho, descabe falarse em impossibilidade jurídica do pedido de reintegração de posse. II. Os requisitos da reintegração de posse são aqueles elencados no art. </w:t>
      </w:r>
      <w:hyperlink r:id="rId16" w:tgtFrame="Artigo 927 da Lei nº 5.869 de 11 de Janeiro de 1973">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17" w:tgtFrame="Lei no 5.869, de 11 de janeiro de 1973.">
        <w:r>
          <w:rPr>
            <w:rStyle w:val="LinkdaInternet"/>
            <w:rFonts w:cs="Tahoma" w:ascii="Tahoma" w:hAnsi="Tahoma"/>
            <w:b/>
            <w:bCs/>
            <w:i w:val="false"/>
            <w:iCs w:val="false"/>
            <w:color w:val="auto"/>
            <w:sz w:val="20"/>
            <w:szCs w:val="20"/>
            <w:u w:val="none"/>
          </w:rPr>
          <w:t>Código de Processo Civil</w:t>
        </w:r>
      </w:hyperlink>
      <w:r>
        <w:rPr>
          <w:rFonts w:cs="Tahoma" w:ascii="Tahoma" w:hAnsi="Tahoma"/>
          <w:b/>
          <w:bCs/>
          <w:i w:val="false"/>
          <w:iCs w:val="false"/>
          <w:color w:val="auto"/>
          <w:sz w:val="20"/>
          <w:szCs w:val="20"/>
        </w:rPr>
        <w:t>, quais sejam: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posse anterior; b) a turbação ou o esbulho praticados pelo réu; c) data da turbação ou do esbulho; d) a continuação da posse, embora turbada, na ação de manutenção; a perda da posse, na ação de reintegração. No caso dos autos, comprovou o autor a posse anterior sobre o bem discutido nos autos, bem como o esbulho sofrido. III. Realizadas acessões artificiais pelo possuidor direto, e demonstrada sua boa fé, cabível direito de indenização e retenção. Exegese dos artigos </w:t>
      </w:r>
      <w:hyperlink r:id="rId18" w:tgtFrame="Artigo 1219 da Lei nº 10.406 de 10 de Janeiro de 2002">
        <w:r>
          <w:rPr>
            <w:rStyle w:val="LinkdaInternet"/>
            <w:rFonts w:cs="Tahoma" w:ascii="Tahoma" w:hAnsi="Tahoma"/>
            <w:b/>
            <w:bCs/>
            <w:i w:val="false"/>
            <w:iCs w:val="false"/>
            <w:color w:val="auto"/>
            <w:sz w:val="20"/>
            <w:szCs w:val="20"/>
            <w:u w:val="none"/>
          </w:rPr>
          <w:t>1.219</w:t>
        </w:r>
      </w:hyperlink>
      <w:r>
        <w:rPr>
          <w:rFonts w:cs="Tahoma" w:ascii="Tahoma" w:hAnsi="Tahoma"/>
          <w:b/>
          <w:bCs/>
          <w:i w:val="false"/>
          <w:iCs w:val="false"/>
          <w:color w:val="auto"/>
          <w:sz w:val="20"/>
          <w:szCs w:val="20"/>
        </w:rPr>
        <w:t> e </w:t>
      </w:r>
      <w:hyperlink r:id="rId19" w:tgtFrame="Artigo 1255 da Lei nº 10.406 de 10 de Janeiro de 2002">
        <w:r>
          <w:rPr>
            <w:rStyle w:val="LinkdaInternet"/>
            <w:rFonts w:cs="Tahoma" w:ascii="Tahoma" w:hAnsi="Tahoma"/>
            <w:b/>
            <w:bCs/>
            <w:i w:val="false"/>
            <w:iCs w:val="false"/>
            <w:color w:val="auto"/>
            <w:sz w:val="20"/>
            <w:szCs w:val="20"/>
            <w:u w:val="none"/>
          </w:rPr>
          <w:t>1.255</w:t>
        </w:r>
      </w:hyperlink>
      <w:r>
        <w:rPr>
          <w:rFonts w:cs="Tahoma" w:ascii="Tahoma" w:hAnsi="Tahoma"/>
          <w:b/>
          <w:bCs/>
          <w:i w:val="false"/>
          <w:iCs w:val="false"/>
          <w:color w:val="auto"/>
          <w:sz w:val="20"/>
          <w:szCs w:val="20"/>
        </w:rPr>
        <w:t> do </w:t>
      </w:r>
      <w:hyperlink r:id="rId20"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À UNANIMIDADE, JULGARAM PREJUDICADO O AGRAVO RETIDO E DERAM PARCIAL PROVIMENTO À APELAÇÃO. (Apelação Cível Nº 70056132475, Décima Sétima Câmara Cível, Tribunal de Justiça do RS, Relator: Liege Puricelli Pires, Julgado em 03/10/2013).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Douto, caracteriza-se a posse pelo poder fático que alguém exerce, com exclusividade, sobre determinada coisa, com aparência de dono, ainda que dono não seja. Já o esbulho é caracterizado pelos vícios objetivos da posse enumerados no art. </w:t>
      </w:r>
      <w:hyperlink r:id="rId21" w:tgtFrame="Artigo 1200 da Lei nº 10.406 de 10 de Janeiro de 2002">
        <w:r>
          <w:rPr>
            <w:rStyle w:val="LinkdaInternet"/>
            <w:rFonts w:cs="Tahoma" w:ascii="Tahoma" w:hAnsi="Tahoma"/>
            <w:b/>
            <w:bCs/>
            <w:i w:val="false"/>
            <w:iCs w:val="false"/>
            <w:color w:val="auto"/>
            <w:sz w:val="20"/>
            <w:szCs w:val="20"/>
            <w:u w:val="none"/>
          </w:rPr>
          <w:t>1.200</w:t>
        </w:r>
      </w:hyperlink>
      <w:r>
        <w:rPr>
          <w:rFonts w:cs="Tahoma" w:ascii="Tahoma" w:hAnsi="Tahoma"/>
          <w:b/>
          <w:bCs/>
          <w:i w:val="false"/>
          <w:iCs w:val="false"/>
          <w:color w:val="auto"/>
          <w:sz w:val="20"/>
          <w:szCs w:val="20"/>
        </w:rPr>
        <w:t> do </w:t>
      </w:r>
      <w:hyperlink r:id="rId22"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 que são: a) ato de violência (força ou ameaça contra a pessoa do possuidor ou seus detentores); b) precariedade (conduta de quem se recusa a restituir o bem após o término da relação contratual que lhe conferiu a posse direta); clandestinidade (conduta daquele que, aproveitando-se da ausência do vizinho, por exemplo, arreda as dividas do imóvel, de modo a alterar-lhe os limites). Importa consignar ser irrelevante para a presente ação eventual discussão acerca do direito de propriedade sobre o imóvel em litígio.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tal contexto, impende analisar somente, se os requisitos para manutenção e reintegração do imóvel, os direitos de posse estejam devidamente preenchidos em favor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Estado de Direito, cabe ao Estado prestar tutela jurisdicional, sendo certo que nenhuma lesão ou ameaça a direito será excluída da apreciação do Poder Judiciário (C. F., art. 5º, XXXV). A posse anterior do autor no imóvel esbulhado, por sua vez, resta comprovada pelos documentos anexos, também os quais demonstram que no dia DIA/MÊS/ANO foi esbulhado. Daí, conclui-se que exerceu posse antes do ingresso do ato de esbulho pelos requeridos.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data do esbulho é aquela em que encerrado o prazo concedido ao requerido para que desocupasse o imóvel, qual seja DIA/MÊS/ANO. A perda da posse também está comprovada pela recusa do réu a restituir a posse ao autor, embora pessoalmente notificado para tal. Pelo exposto, uma vez que o esbulho é de menos de ano e dia e estando devidamente instruída a inicial com documentos comprobatórios dos requisitos estabelecidos no art. </w:t>
      </w:r>
      <w:hyperlink r:id="rId23" w:tgtFrame="Artigo 927 da Lei nº 5.869 de 11 de Janeiro de 1973">
        <w:r>
          <w:rPr>
            <w:rStyle w:val="LinkdaInternet"/>
            <w:rFonts w:cs="Tahoma" w:ascii="Tahoma" w:hAnsi="Tahoma"/>
            <w:color w:val="000000" w:themeColor="text1"/>
            <w:sz w:val="24"/>
            <w:szCs w:val="24"/>
            <w:u w:val="none"/>
          </w:rPr>
          <w:t>927</w:t>
        </w:r>
      </w:hyperlink>
      <w:r>
        <w:rPr>
          <w:rFonts w:cs="Tahoma" w:ascii="Tahoma" w:hAnsi="Tahoma"/>
          <w:color w:val="000000" w:themeColor="text1"/>
          <w:sz w:val="24"/>
          <w:szCs w:val="24"/>
        </w:rPr>
        <w:t> do </w:t>
      </w:r>
      <w:hyperlink r:id="rId24"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deve ser expedido o mandado liminar de reintegração de posse, na forma preconizada no art. </w:t>
      </w:r>
      <w:hyperlink r:id="rId25" w:tgtFrame="Artigo 928 da Lei nº 5.869 de 11 de Janeiro de 1973">
        <w:r>
          <w:rPr>
            <w:rStyle w:val="LinkdaInternet"/>
            <w:rFonts w:cs="Tahoma" w:ascii="Tahoma" w:hAnsi="Tahoma"/>
            <w:color w:val="000000" w:themeColor="text1"/>
            <w:sz w:val="24"/>
            <w:szCs w:val="24"/>
            <w:u w:val="none"/>
          </w:rPr>
          <w:t>928</w:t>
        </w:r>
      </w:hyperlink>
      <w:r>
        <w:rPr>
          <w:rFonts w:cs="Tahoma" w:ascii="Tahoma" w:hAnsi="Tahoma"/>
          <w:color w:val="000000" w:themeColor="text1"/>
          <w:sz w:val="24"/>
          <w:szCs w:val="24"/>
        </w:rPr>
        <w:t> da mesma verba legislativa.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entendemos demonstrados pelo autor os requisitos do artigo </w:t>
      </w:r>
      <w:hyperlink r:id="rId26" w:tgtFrame="Artigo 560 da Lei nº 13.105 de 16 de Março de 2015">
        <w:r>
          <w:rPr>
            <w:rStyle w:val="LinkdaInternet"/>
            <w:rFonts w:cs="Tahoma" w:ascii="Tahoma" w:hAnsi="Tahoma"/>
            <w:color w:val="000000" w:themeColor="text1"/>
            <w:sz w:val="24"/>
            <w:szCs w:val="24"/>
            <w:u w:val="none"/>
          </w:rPr>
          <w:t>560</w:t>
        </w:r>
      </w:hyperlink>
      <w:r>
        <w:rPr>
          <w:rFonts w:cs="Tahoma" w:ascii="Tahoma" w:hAnsi="Tahoma"/>
          <w:color w:val="000000" w:themeColor="text1"/>
          <w:sz w:val="24"/>
          <w:szCs w:val="24"/>
        </w:rPr>
        <w:t>, seguintes do </w:t>
      </w:r>
      <w:hyperlink r:id="rId27"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e, ausente comprovação quanto à existência de fato impeditivo, modificativo ou extintivo do direito do autor, podendo sem sombra de dúvida esse MM juízo expedir mandado de reintegração de posse.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INDENIZAÇÃO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 o requerido ser condenado pelo pagamento de aluguéis que venham a vencer a partir de DIA/MÊS/ANO, data em deveria ter restituído a posse imóvel tendo em vista o último dia da notificação extrajudicial, até a data em que esta retorne à mão do autor. O diploma processual, admite que em ação possessória seja cumulado pedido de condenação por perdas e danos. A posse da autora está mais do que comprovada mediante os documentos que acompanham a inicial, o esbulho sofrido está devidamente caracterizado, pelos fatos acima narrados, que poderão ser comprovados pelas testemunhas durante a instrução processual.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é pacifica, nesse sentido,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DE INSTRUMENTO. POSSE (BENS IMÓVEIS). AÇÃO 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REINTEGRAÇÃO DE POSSE. LIMINAR. Presentes os requisitos do artigo </w:t>
      </w:r>
      <w:hyperlink r:id="rId28" w:tgtFrame="Artigo 927 da Lei nº 5.869 de 11 de Janeiro de 1973">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29" w:tgtFrame="Lei no 5.869, de 11 de janeiro de 1973.">
        <w:r>
          <w:rPr>
            <w:rStyle w:val="LinkdaInternet"/>
            <w:rFonts w:cs="Tahoma" w:ascii="Tahoma" w:hAnsi="Tahoma"/>
            <w:b/>
            <w:bCs/>
            <w:i w:val="false"/>
            <w:iCs w:val="false"/>
            <w:color w:val="auto"/>
            <w:sz w:val="20"/>
            <w:szCs w:val="20"/>
            <w:u w:val="none"/>
          </w:rPr>
          <w:t>Código de Processo Civil</w:t>
        </w:r>
      </w:hyperlink>
      <w:r>
        <w:rPr>
          <w:rFonts w:cs="Tahoma" w:ascii="Tahoma" w:hAnsi="Tahoma"/>
          <w:b/>
          <w:bCs/>
          <w:i w:val="false"/>
          <w:iCs w:val="false"/>
          <w:color w:val="auto"/>
          <w:sz w:val="20"/>
          <w:szCs w:val="20"/>
        </w:rPr>
        <w:t>, mantém-se a decisão que deferiu pedido liminar de reintegração de posse. RECURSO DESPROVIDO. UNÂNIME. (Agravo de Instrumento Nº 70040290744, Décima Sétima Câmara Cível, Tribunal de Justiça do RS, Relator: Liege Puricelli Pires, Julgado em 17/02/2011)”.“POSSESSÓRIA. LIMINAR. Liminar em ação de reintegração de posse. Concessão. Incontroversa a posse anterior e o esbulho recentemente praticado. Art. </w:t>
      </w:r>
      <w:hyperlink r:id="rId30" w:tgtFrame="Artigo 927 da Lei nº 5.869 de 11 de Janeiro de 1973">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31"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Relação de contrato verbal entre as partes. Livre exame da prova pelo Juiz. Seguimento negado ao agravo. (Agravo de Instrumento Nº 70041160755, Décima Nona Câmara Cível, Tribunal de Justiça do RS, Relator: Carlos Rafael dos Santos Júnior, Julgado em 10/02/2011)”.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requer-se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Seja expedido, sem ouvir- se o réu, mandado liminar de reintegração de posse;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Na ocasião em que intimado o réu da decisão liminar, seja também citado para que conteste a ação, querendo, no prazo de cinco (5) dias, com a advertência das medidas legais;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A produção de todos os meios de provas em direito admitidas, especialmente documental e testemunhal;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A condenação do réu ao pagamento de aluguéis, a serem arbitrados por V. Ex.ª desde (DIA/MÊS/ANO) até a data em que o autor seja reintegrado na posse do bem;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Ao final, seja a ação julgada TOTALMENTE PROCEDENTE, mantendo-se a liminar concedida, condenando-se o requerido ao pagamento das custas processuais e honorários advocatícios, nos termos do artigo 85 CPC/2015;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Protesta o autor em provar o alegado por todos os meios em direito admitidos, em especial a oitiva de testemunhas ao final arroladas.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à causa o valor de R$ 00000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2" w:name="_Hlk482880653"/>
      <w:bookmarkStart w:id="13" w:name="_Hlk482881190"/>
      <w:bookmarkStart w:id="14" w:name="_Hlk482880653"/>
      <w:bookmarkStart w:id="15" w:name="_Hlk482881190"/>
      <w:bookmarkEnd w:id="14"/>
      <w:bookmarkEnd w:id="15"/>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6" w:name="_GoBack"/>
      <w:bookmarkEnd w:id="16"/>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32"/>
      <w:footerReference w:type="default" r:id="rId3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a7d31"/>
    <w:rPr>
      <w:color w:val="0563C1" w:themeColor="hyperlink"/>
      <w:u w:val="single"/>
    </w:rPr>
  </w:style>
  <w:style w:type="character" w:styleId="Meno1" w:customStyle="1">
    <w:name w:val="Menção1"/>
    <w:basedOn w:val="DefaultParagraphFont"/>
    <w:uiPriority w:val="99"/>
    <w:semiHidden/>
    <w:unhideWhenUsed/>
    <w:qFormat/>
    <w:rsid w:val="006a7d31"/>
    <w:rPr>
      <w:color w:val="2B579A"/>
      <w:shd w:fill="E6E6E6" w:val="clear"/>
    </w:rPr>
  </w:style>
  <w:style w:type="character" w:styleId="CabealhoChar" w:customStyle="1">
    <w:name w:val="Cabeçalho Char"/>
    <w:basedOn w:val="DefaultParagraphFont"/>
    <w:link w:val="Cabealho"/>
    <w:uiPriority w:val="99"/>
    <w:qFormat/>
    <w:rsid w:val="003d0eab"/>
    <w:rPr/>
  </w:style>
  <w:style w:type="character" w:styleId="RodapChar" w:customStyle="1">
    <w:name w:val="Rodapé Char"/>
    <w:basedOn w:val="DefaultParagraphFont"/>
    <w:link w:val="Rodap"/>
    <w:uiPriority w:val="99"/>
    <w:qFormat/>
    <w:rsid w:val="003d0eab"/>
    <w:rPr/>
  </w:style>
  <w:style w:type="character" w:styleId="CitaoIntensaChar" w:customStyle="1">
    <w:name w:val="Citação Intensa Char"/>
    <w:basedOn w:val="DefaultParagraphFont"/>
    <w:link w:val="CitaoIntensa"/>
    <w:uiPriority w:val="30"/>
    <w:qFormat/>
    <w:rsid w:val="00b836e8"/>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e08d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d0ea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d0eab"/>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b836e8"/>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1420/artigo-554-da-lei-n-13105-de-16-de-marco-de-2015" TargetMode="External"/><Relationship Id="rId3" Type="http://schemas.openxmlformats.org/officeDocument/2006/relationships/hyperlink" Target="http://www.jusbrasil.com.br/legislacao/174276278/lei-13105-15" TargetMode="External"/><Relationship Id="rId4" Type="http://schemas.openxmlformats.org/officeDocument/2006/relationships/hyperlink" Target="http://www.jusbrasil.com.br/topicos/28891386/artigo-561-da-lei-n-13105-de-16-de-marco-de-2015" TargetMode="External"/><Relationship Id="rId5" Type="http://schemas.openxmlformats.org/officeDocument/2006/relationships/hyperlink" Target="http://www.jusbrasil.com.br/topicos/28894057/artigo-300-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topicos/10633291/artigo-927-da-lei-n-5869-de-11-de-janeiro-de-1973" TargetMode="External"/><Relationship Id="rId8" Type="http://schemas.openxmlformats.org/officeDocument/2006/relationships/hyperlink" Target="http://www.jusbrasil.com.br/legislacao/91735/c&#243;digo-processo-civil-lei-5869-73" TargetMode="External"/><Relationship Id="rId9" Type="http://schemas.openxmlformats.org/officeDocument/2006/relationships/hyperlink" Target="http://www.jusbrasil.com.br/topicos/10633291/artigo-927-da-lei-n-5869-de-11-de-janeiro-de-1973" TargetMode="External"/><Relationship Id="rId10" Type="http://schemas.openxmlformats.org/officeDocument/2006/relationships/hyperlink" Target="http://www.jusbrasil.com.br/legislacao/91735/c&#243;digo-processo-civil-lei-5869-73" TargetMode="External"/><Relationship Id="rId11" Type="http://schemas.openxmlformats.org/officeDocument/2006/relationships/hyperlink" Target="http://www.jusbrasil.com.br/legislacao/109755/lei-do-inquilinato-lei-8245-91" TargetMode="External"/><Relationship Id="rId12" Type="http://schemas.openxmlformats.org/officeDocument/2006/relationships/hyperlink" Target="http://www.jusbrasil.com.br/legislacao/109755/lei-do-inquilinato-lei-8245-91" TargetMode="External"/><Relationship Id="rId13" Type="http://schemas.openxmlformats.org/officeDocument/2006/relationships/hyperlink" Target="http://www.jusbrasil.com.br/topicos/28893055/artigo-373-da-lei-n-13105-de-16-de-marco-de-2015" TargetMode="External"/><Relationship Id="rId14" Type="http://schemas.openxmlformats.org/officeDocument/2006/relationships/hyperlink" Target="http://www.jusbrasil.com.br/topicos/28893048/inciso-ii-do-artigo-373-da-lei-n-13105-de-16-de-marco-de-2015" TargetMode="External"/><Relationship Id="rId15" Type="http://schemas.openxmlformats.org/officeDocument/2006/relationships/hyperlink" Target="http://www.jusbrasil.com.br/legislacao/174276278/lei-13105-15" TargetMode="External"/><Relationship Id="rId16" Type="http://schemas.openxmlformats.org/officeDocument/2006/relationships/hyperlink" Target="http://www.jusbrasil.com.br/topicos/10633291/artigo-927-da-lei-n-5869-de-11-de-janeiro-de-1973" TargetMode="External"/><Relationship Id="rId17" Type="http://schemas.openxmlformats.org/officeDocument/2006/relationships/hyperlink" Target="http://www.jusbrasil.com.br/legislacao/91735/c&#243;digo-processo-civil-lei-5869-73" TargetMode="External"/><Relationship Id="rId18" Type="http://schemas.openxmlformats.org/officeDocument/2006/relationships/hyperlink" Target="http://www.jusbrasil.com.br/topicos/10654186/artigo-1219-da-lei-n-10406-de-10-de-janeiro-de-2002" TargetMode="External"/><Relationship Id="rId19" Type="http://schemas.openxmlformats.org/officeDocument/2006/relationships/hyperlink" Target="http://www.jusbrasil.com.br/topicos/10651297/artigo-1255-da-lei-n-10406-de-10-de-janeiro-de-2002" TargetMode="External"/><Relationship Id="rId20" Type="http://schemas.openxmlformats.org/officeDocument/2006/relationships/hyperlink" Target="http://www.jusbrasil.com.br/legislacao/111983995/c&#243;digo-civil-lei-10406-02" TargetMode="External"/><Relationship Id="rId21" Type="http://schemas.openxmlformats.org/officeDocument/2006/relationships/hyperlink" Target="http://www.jusbrasil.com.br/topicos/10655101/artigo-1200-da-lei-n-10406-de-10-de-janeiro-de-2002" TargetMode="External"/><Relationship Id="rId22" Type="http://schemas.openxmlformats.org/officeDocument/2006/relationships/hyperlink" Target="http://www.jusbrasil.com.br/legislacao/111983995/c&#243;digo-civil-lei-10406-02" TargetMode="External"/><Relationship Id="rId23" Type="http://schemas.openxmlformats.org/officeDocument/2006/relationships/hyperlink" Target="http://www.jusbrasil.com.br/topicos/10633291/artigo-927-da-lei-n-5869-de-11-de-janeiro-de-1973" TargetMode="External"/><Relationship Id="rId24" Type="http://schemas.openxmlformats.org/officeDocument/2006/relationships/hyperlink" Target="http://www.jusbrasil.com.br/legislacao/91735/c&#243;digo-processo-civil-lei-5869-73" TargetMode="External"/><Relationship Id="rId25" Type="http://schemas.openxmlformats.org/officeDocument/2006/relationships/hyperlink" Target="http://www.jusbrasil.com.br/topicos/10633077/artigo-928-da-lei-n-5869-de-11-de-janeiro-de-1973" TargetMode="External"/><Relationship Id="rId26" Type="http://schemas.openxmlformats.org/officeDocument/2006/relationships/hyperlink" Target="http://www.jusbrasil.com.br/topicos/28891388/artigo-560-da-lei-n-13105-de-16-de-marco-de-2015" TargetMode="External"/><Relationship Id="rId27" Type="http://schemas.openxmlformats.org/officeDocument/2006/relationships/hyperlink" Target="http://www.jusbrasil.com.br/legislacao/174276278/lei-13105-15" TargetMode="External"/><Relationship Id="rId28" Type="http://schemas.openxmlformats.org/officeDocument/2006/relationships/hyperlink" Target="http://www.jusbrasil.com.br/topicos/10633291/artigo-927-da-lei-n-5869-de-11-de-janeiro-de-1973" TargetMode="External"/><Relationship Id="rId29" Type="http://schemas.openxmlformats.org/officeDocument/2006/relationships/hyperlink" Target="http://www.jusbrasil.com.br/legislacao/91735/c&#243;digo-processo-civil-lei-5869-73" TargetMode="External"/><Relationship Id="rId30" Type="http://schemas.openxmlformats.org/officeDocument/2006/relationships/hyperlink" Target="http://www.jusbrasil.com.br/topicos/10633291/artigo-927-da-lei-n-5869-de-11-de-janeiro-de-1973" TargetMode="External"/><Relationship Id="rId31" Type="http://schemas.openxmlformats.org/officeDocument/2006/relationships/hyperlink" Target="http://www.jusbrasil.com.br/legislacao/91735/c&#243;digo-processo-civil-lei-5869-73" TargetMode="External"/><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11</Pages>
  <Words>2300</Words>
  <Characters>12062</Characters>
  <CharactersWithSpaces>14304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2017-05-22T15:26:00Z</dcterms:created>
  <dc:creator>bernardo lamenha</dc:creator>
  <dc:description/>
  <dc:language>pt-BR</dc:language>
  <cp:lastModifiedBy/>
  <dcterms:modified xsi:type="dcterms:W3CDTF">2020-04-14T02:34:04Z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