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288476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1"/>
      <w:bookmarkEnd w:id="2"/>
      <w:r>
        <w:rPr>
          <w:rFonts w:cs="Tahoma" w:ascii="Tahoma" w:hAnsi="Tahoma"/>
          <w:color w:val="000000" w:themeColor="text1"/>
        </w:rPr>
        <w:t>, por sua advogada nomeada, sob os Benefícios da Assistência Judiciária Gratuita (doc. Juntado), com escritório profissional na Rua TAL, respeitosamente, requer a V. Exa.</w:t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REGULAMENTAÇÃO DO DIREITO DE VISITA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621"/>
      <w:bookmarkStart w:id="4" w:name="_Hlk483225481"/>
      <w:bookmarkStart w:id="5" w:name="_Hlk482884621"/>
      <w:bookmarkStart w:id="6" w:name="_Hlk483225481"/>
      <w:bookmarkEnd w:id="5"/>
      <w:bookmarkEnd w:id="6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genitora do Requerente conviveu maritalmente com o Requerido de DIA/MÊS/ANO a DIA/MÊS/ANO. Desta união adveio, FULANINHO DE TAL, o nascimento do Requerente, conforme faz prova a certidão de nascimento anexa, expedida pelo Ofício de Registro Civil das Pessoas Naturais, Registrado sob nº 0000 – Livro 00000 – fls. 0000.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Ocorre que, após a separação de fato do casal, o Requerido e a genitora do Requerente não chegaram a um acordo quanto ao horário de visita ao filho do casal.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Tal situação tem causado sérios transtornos à genitora do Requerente, haja vista que mãe e filho residem com a avó materna e o Requerido quer visitar o Requerente em qualquer dia e em qualquer horário.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 se levar em consideração que o Requerente tem apenas três meses de vida e não pode se distanciar de sua genitora, pois necessita do leite materno. Por esta razão, o Requerido não poderá retirar o Requerente da residência materna.</w:t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PEDIDO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dos fatos alegados,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a) pelo recebimento e pela procedência da presente ação, com a consequente regulamentação do direito de visita, devendo o Requerido visitar a criança na residência materna sempre aos domingos, no horário compreendido entre às 00:00 e 00:00 horas;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seja o Requerido condenado ao pagamento dos ônus sucumbenciais, tais como custas judiciais, despesas processuais e verba honorária;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c) seja o Requerido citado pessoalmente, para, querendo, contestar a presente ação, sob pena de revelia, deferindo-se ao Oficial de Justiça as prerrogativas do art. </w:t>
      </w:r>
      <w:hyperlink r:id="rId2" w:tgtFrame="Artigo 172 da Lei nº 5.869 de 11 de Janeiro de 1973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172</w:t>
        </w:r>
      </w:hyperlink>
      <w:r>
        <w:rPr>
          <w:rFonts w:cs="Tahoma" w:ascii="Tahoma" w:hAnsi="Tahoma"/>
          <w:color w:val="000000" w:themeColor="text1"/>
        </w:rPr>
        <w:t xml:space="preserve"> e parágrafos do 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CPC</w:t>
        </w:r>
      </w:hyperlink>
      <w:r>
        <w:rPr>
          <w:rFonts w:cs="Tahoma" w:ascii="Tahoma" w:hAnsi="Tahoma"/>
          <w:color w:val="000000" w:themeColor="text1"/>
        </w:rPr>
        <w:t xml:space="preserve">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d) pela intimação do DD. Representante do Ministério Público.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Requer provar o alegado mediante a produção das seguintes provas: juntada de documentos novos, perícias, vistorias, oitiva de testemunhas e, em especial, depoimento pessoal do Requerido, sob pena de confesso.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 à causa o valor de R$ 0000 (REAIS), exclusivamente para efeito de alçada.</w:t>
      </w:r>
      <w:bookmarkStart w:id="7" w:name="_Hlk482881190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9" w:name="_Hlk482880653"/>
      <w:bookmarkStart w:id="10" w:name="_Hlk482880653"/>
      <w:bookmarkEnd w:id="10"/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0bbf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a40bbf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4309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4309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0bb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430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430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23630/artigo-172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4</Pages>
  <Words>431</Words>
  <Characters>2243</Characters>
  <CharactersWithSpaces>2656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2017-02-13T06:30:00Z</dcterms:created>
  <dc:creator/>
  <dc:description/>
  <dc:language>pt-BR</dc:language>
  <cp:lastModifiedBy/>
  <dcterms:modified xsi:type="dcterms:W3CDTF">2020-04-14T02:33:51Z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