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AO DOUTO JUÍZO DE DIREITO DA 00ª VARA CÍVEL DA COMARCA DE CIDADE/UF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PROCESSO Nº 0000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TUTELA PROVISÓRIA DE EVIDÊNCIA</w:t>
      </w:r>
      <w:bookmarkStart w:id="1" w:name="_GoBack"/>
      <w:bookmarkEnd w:id="1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pelos fatos e fundamentos a seguir expostos: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dia DIA/MÊS/ANO os Autores adquiriram da Ré o lote residencial nº  00, com área de 0000 m², no loteamento TAL, registrado no Cartório de Registro de Imóveis de CIDADE/UF sob a matrícula nº 00000, localizado na CIDADE/UF.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 lote os Autores pagaram a quantia total de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R$ 000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(REAIS), prevista na cláusula TAL do contrato, sendo R$ 00000 (REAIS) de sinal e TANTAS parcelas de R$ 0000 (REAIS) pagas mensalmente de DIA/MÊS/ANO a DIA/MÊS/ANO,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valor este que está totalmente pago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conforme demonstra documento presente nos autos.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prazo para conclusão das Obras e entrega do lote foi determinado pela Ré como sendo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“ATÉ MÊS/ANO”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conforme previsão na cláusula TAL do contrato. Contudo até a presente data,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DIA/MÊS/ANO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o lote não foi entregue aos Autores, ou seja, um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atraso de mais de TANTOS meses do prazo contratado.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tendo mais interesse no lote, por conta do excessivo atraso e da necessidade de aquisição de casa própria, pois moram de aluguel, notificaram a Ré no dia DIA/MÊS/ANO da rescisão do contrato de compra e venda, apresentando o valor de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R$ 0000 (REAIS)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para devolução, que representa o valor pago pelo imóvel, acrescido de correção, mediante aplicação de índices da Tabela do TJ/UF, e juros mensais de 01%, conforme abaixo discriminado. Contudo, a Ré se quedou inerte, não restando aos Autores outra alternativa senão buscar a rescisão judicial do contrato e a devolução dos valores pagos.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tbl>
      <w:tblPr>
        <w:tblW w:w="934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11"/>
        <w:gridCol w:w="1709"/>
        <w:gridCol w:w="1720"/>
        <w:gridCol w:w="1625"/>
        <w:gridCol w:w="2683"/>
      </w:tblGrid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VALOR PARCELA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DATA PAGTO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CORREÇÃO ÍNDICE TJ/MG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JUROS 1% MÊS</w:t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* Este valor deve ser acrescido da multa de 20% prevista na Cláusula 3.2.1 do contrato, em reciprocidade de tratamento.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DA NECESSIDADE DE CONCESSÃO DA TUTELA PROVISÓRIA DE EVIDÊNCIA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art. 294, do N.C.P.C., disciplina a tutela provisória, que pode fundamentar-se em urgência ou evidência, prescrevendo o art. 311 do mesmo Codex que a tutela de evidência será concedida, independentemente da demonstração de perigo de dano ou de risco ao resultado útil do processo, quando as alegações de fato puderem ser comprovadas apenas documentalmente e houver tese firmada em julgamento de casos repetitivos ou em súmula vinculante, ou, ainda, a petição inicial for instruída com prova documental suficiente dos fatos constitutivos do direito do autor, a que o réu não oponha prova capaz de gerar dúvida razoável.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311 - A tutela da evidência será concedida, independentemente da demonstração de perigo de dano ou de risco ao resultado útil do processo,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 - as alegações de fato puderem ser comprovadas apenas documentalmente e houver tese firmada em julgamento de casos repetitivos ou em súmula vinculante;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III - (...);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IV - a petição inicial for instruída com prova documental suficiente dos fatos constitutivos do direito do autor, a que o réu não oponha prova capaz de gerar dúvida razoável.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caso dos autos, a conclusão das Obras de Infraestrutura do Loteamento foi estipulada no contrato como sendo “até MÊS/ANO”, conforme previsão da cláusula TAL do contrato, restando demonstrado um atraso de mais de TANTOS meses além da data prevista no contrato para entrega do imóvel adquirido, tendo já quitado o pagamento de todas as parcelas do preço avençado, conforme documento presente nos autos, estando o direito dos Autores demonstrado de forma cristalina nos documentos acostados na inicial, cuja Ré não é capaz de impugnar ou justiçar, sendo aplicável a concessão da tutela provisória de evidência.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Também há tese firmada em julgamento de casos repetitivos, conforme Acórdão do Superior Tribunal de Justiça abaixo colacionado, que determina a devolução imediata do valor pago no contrato de compra e venda. Vejamos: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RECURSO ESPECIAL REPRESENTATIVO DE CONTROVÉRSIA. ART. 543-C DO NCPC. DIREITO DO CONSUMIDOR. CONTRATO DE COMPRA DE IMÓVEL. DESFAZIMENTO.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DEVOLUÇÃO DE PARTE DO VALOR PAGO. MOMENTO.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1. Para efeitos do art. 543-C do NCPC: em contratos submetidos ao Código de Defesa do Consumidor, é abusiva a cláusula contratual que determina a restituição dos valores devidos somente ao término da obra ou de forma parcelada, na hipótese de resolução de contrato de promessa de compra e venda de imóvel, por culpa de quaisquer contratantes. Em tais avenças, deve ocorrer a imediata restituição das parcelas pagas pelo promitente comprador - integralmente, em caso de culpa exclusiva do promitente vendedor/construtor, ou parcialmente, caso tenha sido o comprador quem deu causa ao desfazimento.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2. Recurso especial não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(REsp 1300418/SC, Rel. Ministro LUIS FELIPE SALOMÃO, SEGUNDA SEÇÃO, julgado em 13/11/2013, DJe 10/12/2013)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Há também a Súmula nº 543 do S.T.J que disciplina o tema: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Na hipótese de resolução de contrato de promessa de compra e venda de imóvel submetido ao Código de Defesa do Consumidor, deve ocorrer a imediata restituição das parcelas pagas pelo promitente comprador - integralmente, em caso de culpa exclusiva do promitente vendedor/construtor, ou parcialmente, caso tenha sido o comprador quem deu causa ao desfazimento.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(Súmula 543, SEGUNDA SEÇÃO, julgado em 26/08/2015, DJe 31/08/2015)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É também neste sentido as decisões recentes do TJMG: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EMENTA: APELAÇÃO - DIREITO DO CONSUMIDOR - ATRASO NA ENTREGA DE IMÓVEL - RESCISÃO CONTRATUAL - DEVOLUÇÃO DAS PARCELAS PAGAS - RETENÇÃO- IMPOSSIBILIDADE - SENTENÇA MANTIDA.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- Em contratos submetidos ao Código de Defesa do Consumidor, é abusiva a cláusula contratual que determina a restituição dos valores somente ao término da obra ou após a entrega do habite-se, ressaltando-se que, em tais avenças, deve ocorrer a imediata restituição das parcelas pagas pelo promitente comprador - integralmente, em caso de culpa exclusiva do promitente vendedor/construtor.  (TJMG - Apelação Cível 1.0024.13.380378-3/001, Relator(a): Des.(a) Mota e Silva, 18ª CÂMARA CÍVEL, julgamento em 21/02/2017, publicação da súmula em 24/02/2017)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EMENTA: APELAÇÃO CÍVEL - CONTRATO PARTICULAR DE COMPRA E VENDA DE IMÓVEL - RESCISÃO - CULPA VENDEDOR - RESTITUIÇÃO INTEGRAL DOS VALORES PAGOS PELO PROMISSÁRIO COMPRADOR.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- Rescindida promessa de compra e venda de imóvel por culpa do promitente vendedor, deve este restituir de forma imediata a integralidade dos valores pagos pelo promissário comprador.  (TJMG - Apelação Cível  1.0481.12.011465-9/001, Relator(a): Des.(a) Pedro Aleixo, 16ª CÂMARA CÍVEL, julgamento em 09/02/2017, publicação da súmula em 20/02/2017)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Portanto, presentes os requisitos que autorizam a concessão da tutela provisória de evidência para acautelar o direito dos Autores, que necessitam da imediata devolução do numerário para fazerem outro investimento, bem como comprar a sonhada casa própria, pois pagam aluguel até hoje e necessitam adquirir um imóvel próprio.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do exposto, requer a V. Exa.: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concedida tutela provisória de evidência, initio litis, para determinar a Ré a devolver, imediatamente, o valor pago pelos Autores na compra do lote, </w:t>
      </w: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R$ 0000 (REAIS)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devidamente corrigida e acrescida de juros, além da multa de 20% prevista na cláusula TAL, em reciprocidade, pelo descumprimento contratual, no prazo de 10 (dez) dias, sob pena de multa diária de R$ 0000 (REAIS) a ser arbitrado por este juízo para o caso de descumprimento da ordem;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cumprindo voluntariamente a ordem judicial, requer a penhora on line do numerário nas contas da Ré, nos termos do art. 301 c/c 854 do N.C.P.C;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encontrado numerário, ou, sendo este insuficiente, requer o arresto de bens da Ré, nos termos do art. 301 do N.C.P.C;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sendo o entendimento pela concessão da tutela provisória de evidência, os Autores reiteram o pedido de concessão da tutela provisória de urgência antecipada, presentes também os requisitos autorizadores, nos termos requeridos na inicial, conforme item TAL.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207b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07bcf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64f3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64f38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23b8b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64f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64f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3b8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LibreOffice/6.4.2.2$Windows_X86_64 LibreOffice_project/4e471d8c02c9c90f512f7f9ead8875b57fcb1ec3</Application>
  <Pages>7</Pages>
  <Words>1283</Words>
  <Characters>6889</Characters>
  <CharactersWithSpaces>8123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2018-02-01T05:53:00Z</dcterms:created>
  <dc:creator/>
  <dc:description/>
  <dc:language>pt-BR</dc:language>
  <cp:lastModifiedBy/>
  <dcterms:modified xsi:type="dcterms:W3CDTF">2020-04-14T02:05:54Z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