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24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DESEMBARGADOR PRESIDENTE DO TRIBUNAL DE JUSTIÇA TAL</w:t>
      </w:r>
    </w:p>
    <w:p>
      <w:pPr>
        <w:pStyle w:val="Normal"/>
        <w:spacing w:lineRule="auto" w:line="360" w:before="240" w:after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 w:before="240" w:after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pacing w:val="2"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 xml:space="preserve">, devidamente qualificado nos autos do processo em epígrafe, que move contra </w:t>
      </w:r>
      <w:r>
        <w:rPr>
          <w:rFonts w:cs="Tahoma" w:ascii="Tahoma" w:hAnsi="Tahoma"/>
          <w:b/>
          <w:color w:val="000000"/>
          <w:spacing w:val="2"/>
          <w:sz w:val="24"/>
          <w:szCs w:val="24"/>
        </w:rPr>
        <w:t>SICRANO</w:t>
      </w:r>
      <w:r>
        <w:rPr>
          <w:rFonts w:cs="Tahoma" w:ascii="Tahoma" w:hAnsi="Tahoma"/>
          <w:sz w:val="24"/>
          <w:szCs w:val="24"/>
        </w:rPr>
        <w:t>, igualmente qualificado, vem, respeitosamente, perante Vossa Excelência, por seus procuradores firmatários, inconformado com o acórdão que não deu provimento ao Recurso de Apelação, interpor o presente</w:t>
      </w:r>
    </w:p>
    <w:p>
      <w:pPr>
        <w:pStyle w:val="Normal"/>
        <w:spacing w:lineRule="auto" w:line="360" w:before="240" w:after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 w:before="240" w:after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RECURSO ESPECIAL</w:t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fundamento no disposto no artigo 105, inciso III, alínea "c", da Constituição da República Federativa do Brasil de 1988, visando à reforma do acórdão, conforme as razões expostas em anexo.</w:t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Requer, após os tramites legais, seja admitido o presente recurso e seja procedida sua remessa ao Egrégio Superior Tribunal de Justiça, acompanhado das razões anexas, para o seu devido processamento.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 w:before="240" w:after="24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 w:before="240" w:after="24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 w:before="240" w:after="24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EGRÉGIO SUPERIOR TRIBUNAL DE JUSTIÇA</w:t>
      </w:r>
    </w:p>
    <w:p>
      <w:pPr>
        <w:pStyle w:val="Normal"/>
        <w:spacing w:lineRule="auto" w:line="360" w:before="240" w:after="24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EXCELENTÍSSIMOS(AS) SENHORES(AS) MINISTROS(AS)</w:t>
      </w:r>
    </w:p>
    <w:p>
      <w:pPr>
        <w:pStyle w:val="Normal"/>
        <w:spacing w:lineRule="auto" w:line="360" w:before="240" w:after="240"/>
        <w:rPr>
          <w:rFonts w:ascii="Tahoma" w:hAnsi="Tahoma" w:cs="Tahoma"/>
          <w:b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 w:ascii="Tahoma" w:hAnsi="Tahom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Origem: Tribunal TAL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Apelação Cível nº 000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Recorrente: NOME DA RECORRENTE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Recorrida: NOME DA RECORRIDA</w:t>
      </w:r>
    </w:p>
    <w:p>
      <w:pPr>
        <w:pStyle w:val="Corpodotextorecuado"/>
        <w:tabs>
          <w:tab w:val="clear" w:pos="720"/>
          <w:tab w:val="left" w:pos="0" w:leader="none"/>
        </w:tabs>
        <w:spacing w:lineRule="auto" w:line="360" w:before="0" w:after="360"/>
        <w:ind w:left="0" w:right="142" w:hanging="0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</w:r>
    </w:p>
    <w:p>
      <w:pPr>
        <w:pStyle w:val="Corpodotextorecuado"/>
        <w:tabs>
          <w:tab w:val="clear" w:pos="720"/>
          <w:tab w:val="left" w:pos="0" w:leader="none"/>
        </w:tabs>
        <w:spacing w:lineRule="auto" w:line="360" w:before="0" w:after="360"/>
        <w:ind w:left="0" w:right="142" w:hanging="0"/>
        <w:rPr>
          <w:rFonts w:ascii="Tahoma" w:hAnsi="Tahoma" w:cs="Tahoma"/>
          <w:b/>
          <w:b/>
          <w:bCs/>
          <w:lang w:val="pt-BR"/>
        </w:rPr>
      </w:pPr>
      <w:r>
        <w:rPr>
          <w:rFonts w:cs="Tahoma" w:ascii="Tahoma" w:hAnsi="Tahoma"/>
          <w:b/>
          <w:bCs/>
          <w:lang w:val="pt-BR"/>
        </w:rPr>
        <w:t>RAZÕES DO RECURSO ESPECIAL</w:t>
      </w:r>
    </w:p>
    <w:p>
      <w:pPr>
        <w:pStyle w:val="Corpodotextorecuado"/>
        <w:tabs>
          <w:tab w:val="clear" w:pos="720"/>
          <w:tab w:val="left" w:pos="0" w:leader="none"/>
        </w:tabs>
        <w:spacing w:lineRule="auto" w:line="360" w:before="0" w:after="360"/>
        <w:ind w:left="0" w:right="142" w:hanging="0"/>
        <w:rPr>
          <w:rFonts w:ascii="Tahoma" w:hAnsi="Tahoma" w:cs="Tahoma"/>
          <w:b/>
          <w:b/>
          <w:bCs/>
          <w:lang w:val="pt-BR"/>
        </w:rPr>
      </w:pPr>
      <w:r>
        <w:rPr>
          <w:rFonts w:cs="Tahoma" w:ascii="Tahoma" w:hAnsi="Tahoma"/>
          <w:b/>
          <w:bCs/>
          <w:lang w:val="pt-BR"/>
        </w:rPr>
        <w:t>BREVE HISTÓRICO</w:t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360" w:after="24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Trata-se de ação ajuizada pelo(a) Recorrente contra o Estado TAL, para ver declarada a inexistência de relação jurídico-tributária que a obrigue a recolher o ICMS sobre quaisquer taxas de transmissão, distribuição e demais encargos setoriais nas contas de energia, restringindo a respectiva base de cálculo aos valores pagos a título de efetivo fornecimento e consumo de energia elétrica e a repetição do indébito do ICMS indevidamente recolhido nos últimos cinco anos.</w:t>
      </w:r>
    </w:p>
    <w:p>
      <w:pPr>
        <w:pStyle w:val="Normal"/>
        <w:spacing w:lineRule="auto" w:line="360" w:before="360" w:after="360"/>
        <w:ind w:right="142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360" w:after="360"/>
        <w:ind w:right="142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a defesa e da fase de instrução, foi proferida sentença de improcedência nos seguintes termos:</w:t>
      </w:r>
    </w:p>
    <w:p>
      <w:pPr>
        <w:pStyle w:val="Corpodotextorecuado"/>
        <w:ind w:left="2268" w:right="142" w:hanging="0"/>
        <w:rPr>
          <w:rFonts w:ascii="Tahoma" w:hAnsi="Tahoma" w:cs="Tahoma"/>
          <w:bCs/>
          <w:lang w:val="pt-BR"/>
        </w:rPr>
      </w:pPr>
      <w:r>
        <w:rPr>
          <w:rFonts w:cs="Tahoma" w:ascii="Tahoma" w:hAnsi="Tahoma"/>
          <w:bCs/>
          <w:lang w:val="pt-BR"/>
        </w:rPr>
      </w:r>
    </w:p>
    <w:p>
      <w:pPr>
        <w:pStyle w:val="Corpodotextorecuado"/>
        <w:ind w:left="2268" w:right="142" w:hanging="0"/>
        <w:rPr>
          <w:rFonts w:ascii="Tahoma" w:hAnsi="Tahoma" w:cs="Tahoma"/>
          <w:b/>
          <w:b/>
          <w:bCs/>
          <w:color w:val="000000"/>
          <w:lang w:val="pt-BR"/>
        </w:rPr>
      </w:pPr>
      <w:r>
        <w:rPr>
          <w:rFonts w:cs="Tahoma" w:ascii="Tahoma" w:hAnsi="Tahoma"/>
          <w:b/>
          <w:bCs/>
          <w:color w:val="000000"/>
          <w:lang w:val="pt-BR"/>
        </w:rPr>
        <w:t>... (retirar dispositivo da sentença de 1º grau)</w:t>
      </w:r>
    </w:p>
    <w:p>
      <w:pPr>
        <w:pStyle w:val="Corpodotextorecuado"/>
        <w:tabs>
          <w:tab w:val="clear" w:pos="720"/>
          <w:tab w:val="left" w:pos="0" w:leader="none"/>
        </w:tabs>
        <w:ind w:left="0" w:right="142" w:hanging="0"/>
        <w:rPr>
          <w:rFonts w:ascii="Tahoma" w:hAnsi="Tahoma" w:cs="Tahoma"/>
          <w:bCs/>
          <w:color w:val="FF0000"/>
          <w:lang w:val="pt-BR"/>
        </w:rPr>
      </w:pPr>
      <w:r>
        <w:rPr>
          <w:rFonts w:cs="Tahoma" w:ascii="Tahoma" w:hAnsi="Tahoma"/>
          <w:bCs/>
          <w:color w:val="FF0000"/>
          <w:lang w:val="pt-BR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Irresignado(a), o(a) Recorrente interpôs Recurso de Apelação, pois a decisão do Juízo a quo ia de encontro com a legislação processual vigente, bem como a jurisprudência pátria.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Todavia, a 00ª Turma TAL do Tribunal TAL entendeu por não dar provimento ao Recurso de Apelação, mantendo a sentença de origem por seus próprios fundamentos.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CABIMENTO DO RECURSO ESPECIAL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  <w:b/>
          <w:b/>
          <w:bCs/>
          <w:color w:val="FFFFFF"/>
        </w:rPr>
      </w:pPr>
      <w:r>
        <w:rPr>
          <w:rFonts w:cs="Tahoma" w:ascii="Tahoma" w:hAnsi="Tahoma"/>
          <w:b/>
          <w:bCs/>
          <w:color w:val="FFFFFF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A Constituição da República Federativa do Brasil de 1988, ao disciplinar o Recurso Especial, assim determina: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CRFB/88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Art. 105. Compete ao Superior Tribunal de Justiça: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[...]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III – julgar, em recurso especial, as causas decididas, em única ou última instância, pelos Tribunais Regionais Federais ou pelos Tribunais dos Estados, do Distrito Federal e Territórios, quando a decisão recorrida: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[...]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c) der a lei federal interpretação divergente da que lhe haja atribuído outro tribunal</w:t>
      </w:r>
    </w:p>
    <w:p>
      <w:pPr>
        <w:pStyle w:val="ListParagraph"/>
        <w:spacing w:lineRule="auto" w:line="360" w:before="0" w:after="24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In casu, o acordão recorrido enquadra-se no inciso III, alíena “c”, do artigo supracitado, nos moldes a seguir expostos.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0"/>
        <w:rPr>
          <w:rFonts w:ascii="Tahoma" w:hAnsi="Tahoma" w:cs="Tahoma"/>
          <w:b/>
          <w:b/>
          <w:color w:val="FFFFFF"/>
        </w:rPr>
      </w:pPr>
      <w:r>
        <w:rPr>
          <w:rFonts w:cs="Tahoma" w:ascii="Tahoma" w:hAnsi="Tahoma"/>
          <w:b/>
          <w:color w:val="FFFFFF"/>
        </w:rPr>
        <w:t>RAZÕES DE MÉRITO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  <w:b/>
          <w:b/>
          <w:color w:val="FFFFFF"/>
        </w:rPr>
      </w:pPr>
      <w:r>
        <w:rPr>
          <w:rFonts w:cs="Tahoma" w:ascii="Tahoma" w:hAnsi="Tahoma"/>
          <w:b/>
          <w:color w:val="FFFFFF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O acórdão atacado, data vênia, vai de encontro à consolidada jurisprudência pátria, mostrando-se, por isso, injusto, como restará demonstrado pelos motivos a seguir.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Extrai-se da decisão recorrida: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ind w:left="2268" w:hanging="0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... (retirar partes principais e dispositivo do acórdão).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Em sentido totalmente contrário, está o acórdão paradigma: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ind w:left="2268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AGRAVO REGIMENTAL. SUSPENSÃO DE LIMINAR. INDEFERIMENTO. ICMS. </w:t>
      </w:r>
      <w:r>
        <w:rPr>
          <w:rFonts w:cs="Tahoma" w:ascii="Tahoma" w:hAnsi="Tahoma"/>
          <w:b/>
        </w:rPr>
        <w:t>INCIDÊNCIA DA TUST E TUSD. DESCABIMENTO. JURISPRUDÊNCIA FIRMADA NO STJ</w:t>
      </w:r>
      <w:r>
        <w:rPr>
          <w:rFonts w:cs="Tahoma" w:ascii="Tahoma" w:hAnsi="Tahoma"/>
        </w:rPr>
        <w:t>. AGRAVO QUE NÃO INFIRMA A FUNDAMENTAÇÃO DA DECISÃO ATACADA. NEGADO PROVIMENTO.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 xml:space="preserve">I - A decisão agravada, ao indeferir o pedido suspensivo, fundou-se no fato de não ter ficado devidamente comprovada a alegada lesão à economia pública estadual, bem como em razão de </w:t>
      </w:r>
      <w:r>
        <w:rPr>
          <w:rFonts w:cs="Tahoma" w:ascii="Tahoma" w:hAnsi="Tahoma"/>
          <w:b/>
        </w:rPr>
        <w:t>a jurisprudência desta eg. Corte de Justiça já ter firmado entendimento de que a Taxa de Uso do Sistema de Transmissão de Energia Elétrica - TUST e a Taxa de Uso do Sistema de Distribuição de Energia Elétrica - TUSD não fazem parte da base de cálculo do ICMS</w:t>
      </w:r>
      <w:r>
        <w:rPr>
          <w:rFonts w:cs="Tahoma" w:ascii="Tahoma" w:hAnsi="Tahoma"/>
        </w:rPr>
        <w:t xml:space="preserve"> (AgRg no REsp n. 1.408.485/SC, relator Ministro Humberto Martins, Segunda Turma, julgado em 12/5/2015, DJe de 19/5/2015; AgRg nos EDcl no REsp n. 1.267.162/MG, relator Ministro Herman Benjamin, Segunda Turma, julgado em 16/8/2012, DJe de 24/8/2012).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II - A alegação do agravante de que a jurisprudência ainda não está pacificada   não   vem   devidamente fundamentada, não tendo ele apresentado sequer uma decisão a favor de sua tese.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III - Fundamentação da decisão agravada não infirmada.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Agravo regimental improvido.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  <w:t>(AgRg na SLS 2.103/PI, Rel. Ministro FRANCISCO FALCÃO, CORTE ESPECIAL, julgado em 04/05/2016, DJe 20/05/2016, sem grifo no original)</w:t>
      </w:r>
    </w:p>
    <w:p>
      <w:pPr>
        <w:pStyle w:val="ListParagraph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Esse entendimento jurisprudencial está sedimentado no âmbito do STJ, tanto que os ministros têm decidido monocraticamente as demandas que versam sobre o tema.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Por qualquer ângulo que se analise a questão, resta demonstrado, sem sombras de dúvidas, que as atividades de disponibilização do uso das redes de transmissão e distribuição, remuneradas pela TUST e TUSD, não se subsumem à hipótese de incidência do ICMS por não implicarem circulação de energia elétrica. Esses serviços tão e simplesmente permitem que a energia elétrica esteja ao alcance do usuário.</w:t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São, portanto, quando muito, atividades-meio, que viabilizam o fornecimento da energia elétrica (atividade-fim) pelas geradoras aos consumidores finais, motivo pelo qual não há como se vislumbrar a possibilidade de estarem abrangidas pela campo de incidência da referida exação.</w:t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Desta forma, estando claro que os valores pagos a título de TUST e TUSD tem natureza meramente tarifária, por conta do uso das redes de transmissão e distribuição, é certo que o ICMS só pode ser calculado sobre a energia elétrica quando esta circular juridicamente na condição de mercadoria.</w:t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Em caso análogo ao do acórdão paradigma, é o entendimento pacificado deste Superior Tribunal de Justiça:</w:t>
      </w:r>
    </w:p>
    <w:p>
      <w:pPr>
        <w:pStyle w:val="NoSpacing1"/>
        <w:spacing w:lineRule="auto" w:line="360" w:before="0" w:after="24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TRIBUTÁRIO. AGRAVO REGIMENTAL NO RECURSO ESPECIAL. LEGITIMIDADE ATIVA DO CONTRIBUINTE DE FATO. </w:t>
      </w:r>
      <w:r>
        <w:rPr>
          <w:rFonts w:cs="Tahoma" w:ascii="Tahoma" w:hAnsi="Tahoma"/>
          <w:b/>
          <w:sz w:val="24"/>
          <w:szCs w:val="24"/>
          <w:lang w:val="pt-BR"/>
        </w:rPr>
        <w:t>UTILIZAÇÃO DE LINHA DE TRANSMISSÃO E DE DISTRIBUIÇÃO DE ENERGIA ELÉTRICA. ICMS SOBRE TARIFA DE USO DOS SISTEMA DE DISTRIBUIÇÃO (TUSD). IMPOSSIBILIDADE. AUSÊNCIA DE OPERAÇÃO MERCANTIL</w:t>
      </w:r>
      <w:r>
        <w:rPr>
          <w:rFonts w:cs="Tahoma" w:ascii="Tahoma" w:hAnsi="Tahoma"/>
          <w:sz w:val="24"/>
          <w:szCs w:val="24"/>
          <w:lang w:val="pt-BR"/>
        </w:rPr>
        <w:t>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1. </w:t>
      </w:r>
      <w:r>
        <w:rPr>
          <w:rFonts w:cs="Tahoma" w:ascii="Tahoma" w:hAnsi="Tahoma"/>
          <w:b/>
          <w:sz w:val="24"/>
          <w:szCs w:val="24"/>
          <w:lang w:val="pt-BR"/>
        </w:rPr>
        <w:t>O ICMS sobre energia elétrica tem como fato gerador a circulação da mercadoria, e não do serviço de transporte de transmissão e distribuição de energia elétrica, incidindo, in casu, a Súmula 166/STJ</w:t>
      </w:r>
      <w:r>
        <w:rPr>
          <w:rFonts w:cs="Tahoma" w:ascii="Tahoma" w:hAnsi="Tahoma"/>
          <w:sz w:val="24"/>
          <w:szCs w:val="24"/>
          <w:lang w:val="pt-BR"/>
        </w:rPr>
        <w:t>. Dentre os precedentes mais recentes: AgRg nos EDcl no REsp 1267162/MG, Rel. Ministro Herman Benjamin, Segunda Turma, DJe 24/08/2012.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2. A Primeira Seção/STJ, ao apreciar o REsp 1.299.303/SC, Rel. Min.Cesar Asfor Rocha, DJe de 14.8.2012, na sistemática prevista no art. 543-C do CPC, pacificou entendimento no sentido de que o usuário do serviço de energia elétrica (consumidor em operação interna), na condição de contribuinte de fato, é parte legítima para discutir a incidência do ICMS sobre a demanda contratada de energia elétrica ou para pleitear a repetição do tributo mencionado, não sendo aplicável à hipótese a orientação firmada no julgamento do REsp 903.394/AL (1ª Seção, Rel. Min. Luiz Fux, DJe de 26.4.2010 - recurso submetido à sistemática prevista no art. 543-C do CPC).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3. No ponto, não há falar em ofensa à cláusula de reserva de plenário (art. 97 da Constituição Federal), tampouco em infringência da Súmula Vinculante nº 10, considerando que o STJ, o apreciar o REsp 1.299.303/SC, interpretou a legislação ordinária (art. 4º da Lei Complementar nº 87/96).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4. Agravo regimental não provido.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(AgRg no REsp 1278024/MG, Rel. Ministro BENEDITO GONÇALVES, PRIMEIRA TURMA, julgado em 07/02/2013, DJe 14/02/2013, sem grifo no original)</w:t>
      </w:r>
    </w:p>
    <w:p>
      <w:pPr>
        <w:pStyle w:val="NoSpacing1"/>
        <w:spacing w:before="120" w:after="12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(...)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 xml:space="preserve">PROCESSUAL CIVIL. TRIBUTÁRIO. OMISSÃO INEXISTENTE.  LEGITIMIDADE ATIVA. 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ICMS SOBRE "TUSD" E "TUST". NÃO INCIDÊNCIA. </w:t>
      </w:r>
      <w:r>
        <w:rPr>
          <w:rFonts w:cs="Tahoma" w:ascii="Tahoma" w:hAnsi="Tahoma"/>
          <w:sz w:val="24"/>
          <w:szCs w:val="24"/>
          <w:lang w:val="pt-BR"/>
        </w:rPr>
        <w:t>SÚMULA 83/STJ.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1.  Não há a alegada violação do art. 535 do CPC, ante a efetiva abordagem das questões suscitadas no processo, quais seja, ilegitimidade passiva e ativa ad causam, bem como a matéria de mérito atinente à incidência de ICMS.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2. Entendimento contrário ao interesse da parte e omissão no julgado são conceitos que não se confundem.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3. O STJ reconhece ao consumidor, contribuinte de fato, legitimidade para propor ação fundada na inexigibilidade de tributo que entenda indevido.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BR"/>
        </w:rPr>
        <w:t>4.  "(...) o STJ possui entendimento no sentido de que a Taxa de Uso do Sistema de Transmissão de Energia Elétrica - TUST e a Taxa de Uso do Sistema de Distribuição de Energia Elétrica - TUSD não fazem parte da base de cálculo do ICMS" (AgRg nos  EDcl  no  REsp 1.267.162/MG,  Rel. Ministro HERMAN BENJAMIN, SEGUNDA TURMA, julgado em 16/08/2012, DJe 24/08/2012.).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Agravo regimental improvido.</w:t>
      </w:r>
    </w:p>
    <w:p>
      <w:pPr>
        <w:pStyle w:val="NoSpacing1"/>
        <w:spacing w:before="120" w:after="12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(AgRg no AREsp 845.353/SC, Rel. </w:t>
      </w:r>
      <w:r>
        <w:rPr>
          <w:rFonts w:cs="Tahoma" w:ascii="Tahoma" w:hAnsi="Tahoma"/>
          <w:sz w:val="24"/>
          <w:szCs w:val="24"/>
          <w:lang w:val="pt-BR"/>
        </w:rPr>
        <w:t>Ministro HUMBERTO MARTINS, SEGUNDA TURMA, julgado em 05/04/2016, DJe 13/04/2016, sem grifo no original)</w:t>
      </w:r>
    </w:p>
    <w:p>
      <w:pPr>
        <w:pStyle w:val="ListParagraph"/>
        <w:spacing w:lineRule="auto" w:line="360" w:before="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O acórdão proferido pelo Tribunal de Justiça de TAL pecou seriamente ao admitir a possibilidade da incidência do ICMS sobre valores que não correspondem ao efetivo consumo de energia elétrica, e sim, tão somente, à viabilização para o seu fornecimento, restando a esta Corte remediar referido entendimento.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Evidencia-se, sob forte luz, o desentendimento dos Acórdãos quanto à matéria discutida, já que o Tribunal de Justiça de TAL (Tribunal de origem) entende que é possível a incidência do ICMS sobre as taxas TUST, TUSD e demais encargos em faturas de energia elétrica, ao passo que o Superior Tribunal de Justiça tem entendimento consolidado no sentido oposto, ou seja, que somente é possível a incidência do ICMS sobre o valor que for efetivamente consumido em energia elétrica.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Destarte, entendimentos tão díspares, ensejam, com larga margem de aprovação, a admissibilidade do recurso ora interposto.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REQUERIMENTOS</w:t>
      </w:r>
    </w:p>
    <w:p>
      <w:pPr>
        <w:pStyle w:val="ListParagraph"/>
        <w:spacing w:lineRule="auto" w:line="360" w:before="360" w:after="240"/>
        <w:ind w:left="0" w:hanging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bookmarkStart w:id="1" w:name="_GoBack"/>
      <w:bookmarkEnd w:id="1"/>
      <w:r>
        <w:rPr>
          <w:rFonts w:cs="Tahoma" w:ascii="Tahoma" w:hAnsi="Tahoma"/>
          <w:sz w:val="24"/>
          <w:szCs w:val="24"/>
          <w:lang w:eastAsia="pt-BR"/>
        </w:rPr>
        <w:t>Ante o exposto, merece provimento a irresignação do(a) ora Recorrente, devendo ser reformado o acórdão recorrido, pelos fundamentos e pedidos da presente peça.</w:t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As cópias dos acórdãos que seguem anexas, são reconhecidas como autênticas, sendo extraídas dos sítios eletrônicos (internet) dos respectivos Tribunais.</w:t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Diante do exposto, requer seja o presente recurso conhecido e provido, reformando-se a decisão ora recorrida, a fim de julgar totalmente procedentes os pedidos da inicial, tudo por ser medida de Direito e da mais salutar Justiça!</w:t>
      </w:r>
    </w:p>
    <w:p>
      <w:pPr>
        <w:pStyle w:val="Normal"/>
        <w:widowControl w:val="false"/>
        <w:spacing w:lineRule="auto" w:line="360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color w:val="2A64A6"/>
        <w:sz w:val="18"/>
        <w:szCs w:val="18"/>
      </w:rPr>
    </w:pPr>
    <w:r>
      <w:rPr>
        <w:color w:val="2A64A6"/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11" wp14:anchorId="51D08563">
              <wp:simplePos x="0" y="0"/>
              <wp:positionH relativeFrom="page">
                <wp:posOffset>6772275</wp:posOffset>
              </wp:positionH>
              <wp:positionV relativeFrom="paragraph">
                <wp:posOffset>137160</wp:posOffset>
              </wp:positionV>
              <wp:extent cx="66040" cy="15621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533.25pt;margin-top:10.8pt;width:5.1pt;height:12.2pt;mso-position-horizontal-relative:page" wp14:anchorId="51D0856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szCs w:val="20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szCs w:val="20"/>
                        <w:color w:val="000000"/>
                      </w:rPr>
                      <w:t>10</w:t>
                    </w:r>
                    <w:r>
                      <w:rPr>
                        <w:rStyle w:val="Pagenumber"/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Rodap"/>
      <w:rPr/>
    </w:pPr>
    <w:r>
      <w:rPr/>
    </w:r>
    <w:bookmarkStart w:id="4" w:name="_Hlk18660203"/>
    <w:bookmarkStart w:id="5" w:name="_Hlk18660203"/>
    <w:bookmarkEnd w:id="5"/>
  </w:p>
  <w:p>
    <w:pPr>
      <w:pStyle w:val="NormalWeb"/>
      <w:spacing w:before="0" w:after="0"/>
      <w:jc w:val="center"/>
      <w:rPr>
        <w:color w:val="2A64A6"/>
        <w:sz w:val="18"/>
        <w:szCs w:val="18"/>
        <w:lang w:val="pt-BR"/>
      </w:rPr>
    </w:pPr>
    <w:r>
      <w:rPr>
        <w:color w:val="2A64A6"/>
        <w:sz w:val="18"/>
        <w:szCs w:val="18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2" w:name="_Hlk19040810"/>
    <w:bookmarkStart w:id="3" w:name="_Hlk19040810"/>
    <w:bookmarkEnd w:id="3"/>
  </w:p>
  <w:p>
    <w:pPr>
      <w:pStyle w:val="Normal"/>
      <w:widowControl/>
      <w:overflowPunct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00" w:hanging="600"/>
      </w:pPr>
      <w:rPr>
        <w:rFonts w:cs="Arial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b/>
        <w:rFonts w:cs="Arial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2292" w:hanging="144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4508" w:hanging="252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5152" w:hanging="2880"/>
      </w:pPr>
      <w:rPr>
        <w:rFonts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bidi="ar-SA" w:val="pt-BR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Aria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Arial"/>
    </w:rPr>
  </w:style>
  <w:style w:type="character" w:styleId="WW8Num6z0" w:customStyle="1">
    <w:name w:val="WW8Num6z0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Caracteresdenotaderodap" w:customStyle="1">
    <w:name w:val="Caracteres de nota de rodapé"/>
    <w:qFormat/>
    <w:rPr>
      <w:rFonts w:cs="Times New Roman"/>
      <w:vertAlign w:val="superscript"/>
    </w:rPr>
  </w:style>
  <w:style w:type="character" w:styleId="FootnoteTextChar" w:customStyle="1">
    <w:name w:val="Footnote Text Char"/>
    <w:qFormat/>
    <w:rPr>
      <w:rFonts w:ascii="Times New Roman" w:hAnsi="Times New Roman" w:cs="Times New Roman"/>
    </w:rPr>
  </w:style>
  <w:style w:type="character" w:styleId="Hl" w:customStyle="1">
    <w:name w:val="hl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BodyTextIndentChar" w:customStyle="1">
    <w:name w:val="Body Text Indent Char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PargrafoNormalChar" w:customStyle="1">
    <w:name w:val="Parágrafo Normal Char"/>
    <w:qFormat/>
    <w:rPr>
      <w:rFonts w:ascii="Arial" w:hAnsi="Arial" w:eastAsia="Times New Roman" w:cs="Arial"/>
      <w:sz w:val="24"/>
      <w:szCs w:val="24"/>
    </w:rPr>
  </w:style>
  <w:style w:type="character" w:styleId="BodyTextChar" w:customStyle="1">
    <w:name w:val="Body Text Char"/>
    <w:qFormat/>
    <w:rPr>
      <w:sz w:val="22"/>
      <w:szCs w:val="22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76d08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</w:pPr>
    <w:rPr>
      <w:rFonts w:ascii="Times New Roman" w:hAnsi="Times New Roman"/>
      <w:sz w:val="24"/>
      <w:szCs w:val="24"/>
      <w:lang w:val="en-US"/>
    </w:rPr>
  </w:style>
  <w:style w:type="paragraph" w:styleId="SemEspaamento1" w:customStyle="1">
    <w:name w:val="Sem Espaçamento1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bidi="ar-SA" w:eastAsia="zh-CN"/>
    </w:rPr>
  </w:style>
  <w:style w:type="paragraph" w:styleId="Notaderodap">
    <w:name w:val="Footnote Text"/>
    <w:basedOn w:val="Normal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Tj" w:customStyle="1">
    <w:name w:val="tj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WWSemEspaamento1" w:customStyle="1">
    <w:name w:val="WW-Sem Espaçamento1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bidi="ar-SA" w:eastAsia="zh-CN"/>
    </w:rPr>
  </w:style>
  <w:style w:type="paragraph" w:styleId="NoSpacing1" w:customStyle="1">
    <w:name w:val="No Spacing1"/>
    <w:qFormat/>
    <w:pPr>
      <w:widowControl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bidi="ar-SA" w:eastAsia="zh-C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Destaque1" w:customStyle="1">
    <w:name w:val="Destaque1"/>
    <w:qFormat/>
    <w:pPr>
      <w:widowControl w:val="false"/>
      <w:overflowPunct w:val="true"/>
      <w:bidi w:val="0"/>
      <w:spacing w:before="0" w:after="0"/>
      <w:ind w:left="850" w:firstLine="567"/>
      <w:jc w:val="both"/>
    </w:pPr>
    <w:rPr>
      <w:rFonts w:ascii="Arial" w:hAnsi="Arial" w:eastAsia="Times New Roman" w:cs="Arial"/>
      <w:color w:val="auto"/>
      <w:kern w:val="0"/>
      <w:sz w:val="22"/>
      <w:szCs w:val="22"/>
      <w:lang w:bidi="ar-SA" w:val="pt-BR" w:eastAsia="zh-CN"/>
    </w:rPr>
  </w:style>
  <w:style w:type="paragraph" w:styleId="Texto" w:customStyle="1">
    <w:name w:val="Texto"/>
    <w:basedOn w:val="Caption"/>
    <w:qFormat/>
    <w:pPr>
      <w:widowControl w:val="false"/>
      <w:spacing w:lineRule="auto" w:line="360"/>
      <w:ind w:firstLine="1417"/>
      <w:jc w:val="both"/>
    </w:pPr>
    <w:rPr>
      <w:rFonts w:ascii="Arial" w:hAnsi="Arial" w:eastAsia="Times New Roman" w:cs="Arial"/>
    </w:rPr>
  </w:style>
  <w:style w:type="paragraph" w:styleId="PargrafoNormal" w:customStyle="1">
    <w:name w:val="Parágrafo Normal"/>
    <w:basedOn w:val="Normal"/>
    <w:qFormat/>
    <w:pPr>
      <w:spacing w:lineRule="auto" w:line="360" w:before="0" w:after="60"/>
      <w:ind w:firstLine="1418"/>
      <w:jc w:val="both"/>
    </w:pPr>
    <w:rPr>
      <w:rFonts w:ascii="Arial" w:hAnsi="Arial" w:eastAsia="Times New Roman" w:cs="Arial"/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Application>LibreOffice/6.4.2.2$Windows_X86_64 LibreOffice_project/4e471d8c02c9c90f512f7f9ead8875b57fcb1ec3</Application>
  <Pages>10</Pages>
  <Words>1517</Words>
  <Characters>8428</Characters>
  <CharactersWithSpaces>9883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2015-03-30T01:03:00Z</dcterms:created>
  <dc:creator>BBR</dc:creator>
  <dc:description/>
  <dc:language>pt-BR</dc:language>
  <cp:lastModifiedBy/>
  <cp:lastPrinted>2012-03-13T20:50:00Z</cp:lastPrinted>
  <dcterms:modified xsi:type="dcterms:W3CDTF">2020-04-15T14:51:00Z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