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DOUTO JUÍZO DA </w:t>
      </w:r>
      <w:r>
        <w:rPr>
          <w:rStyle w:val="Strong"/>
          <w:rFonts w:cs="Tahoma" w:ascii="Tahoma" w:hAnsi="Tahoma"/>
          <w:spacing w:val="2"/>
        </w:rPr>
        <w:t>VARA DE FAMÍLIA COMARCA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spacing w:val="2"/>
        </w:rPr>
        <w:t>NOME DO MENOR,</w:t>
      </w:r>
      <w:r>
        <w:rPr>
          <w:rFonts w:cs="Tahoma" w:ascii="Tahoma" w:hAnsi="Tahoma"/>
          <w:spacing w:val="2"/>
        </w:rPr>
        <w:t xml:space="preserve"> nacionalidade, menor impúbere, neste ato representada por sua genitora, NOME DA GENITORA, nacionalidade, estado civil, profissão, portadora da carteira de identidade nº 000000 e do CPF nº 000000, residente e domiciliada no Endereço TAL, por sua advogada devidamente constituídos pelo instrumento de mandato anexo, nos termos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39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</w:t>
      </w:r>
      <w:r>
        <w:rPr>
          <w:rFonts w:cs="Tahoma" w:ascii="Tahoma" w:hAnsi="Tahoma"/>
          <w:spacing w:val="2"/>
        </w:rPr>
        <w:t xml:space="preserve">/1973 e art. </w:t>
      </w:r>
      <w:hyperlink r:id="rId2" w:tgtFrame="Artigo 287 da Lei nº 13.105 de 16 de Março de 2015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287</w:t>
        </w:r>
      </w:hyperlink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NCPC</w:t>
      </w:r>
      <w:r>
        <w:rPr>
          <w:rFonts w:cs="Tahoma" w:ascii="Tahoma" w:hAnsi="Tahoma"/>
          <w:spacing w:val="2"/>
        </w:rPr>
        <w:t>/2015 (documento 00), vem, respeitosamente, à presença de Vossa Excelência, propor a presente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AÇÃO DE ALIMENTOS E GUARDA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de NOME DO RÉU, nacionalidade, estado civil, profissão, portador da carteira de identidade nº 00000000 e do CPF nº 000000000, residente e domiciliado no ENDEREÇO TAL pelos fatos e fundamentos a seguir expostos:</w:t>
      </w:r>
    </w:p>
    <w:p>
      <w:pPr>
        <w:pStyle w:val="NormalWeb"/>
        <w:spacing w:lineRule="atLeast" w:line="480"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DOS BENEFÍCIOS JUSTIÇA GRATUITA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GoBack"/>
      <w:bookmarkStart w:id="1" w:name="_GoBack"/>
      <w:bookmarkEnd w:id="1"/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autora não possui condições de pagar as custas e despesas do processo sem prejuízo próprio ou de sua família, conforme declaração de hipossuficiência anexa, sob égide no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 xml:space="preserve">,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98</w:t>
      </w:r>
      <w:r>
        <w:rPr>
          <w:rFonts w:cs="Tahoma" w:ascii="Tahoma" w:hAnsi="Tahoma"/>
          <w:spacing w:val="2"/>
        </w:rPr>
        <w:t xml:space="preserve"> e seguintes e pelo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5º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LXXIV</w:t>
      </w:r>
      <w:r>
        <w:rPr>
          <w:rFonts w:cs="Tahoma" w:ascii="Tahoma" w:hAnsi="Tahoma"/>
          <w:spacing w:val="2"/>
        </w:rPr>
        <w:t xml:space="preserve"> da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>. Desse modo, a autora faz jus à concessão da gratuidade de Justiça. Insta ressaltar que entender de outra forma seria impedir os mais humildes de ter acesso à Justiça, garantia maior dos cidadãos no Estado Democrático de Direito.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Conforme faz prova na certidão de nascimento em anexo, o requerente é filho legítimo do requerido, fruto de relacionamento amoroso entre o requerido e sua genitora, que viveram algum tempo em união estável.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Desde a separação dos genitores o menor está sob os cuidados de sua genitora, que possui guarda unilateral de fato.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Atualmente a representante legal não trabalha, e vem enfrentando dificuldades em manter o mesmo padrão de vida de seu filho desde a separação do casal.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criação da requerente não deve recair somente sobre a responsabilidade de sua genitora, que são muitas e notórias, como por exemplo: alimentação, vestuário, moradia, assistência médica e odontológica, educação, dentre outras.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situação financeira do requerido é estável e privilegiada, segundo informações de testemunhas que serão oportunamente arroladas, o requerido exerce a função de autônomo no ramo de TAL, percebendo cerca de R$ 0000000000 (REAIS) mensais, todavia, quando procurado pela representante legal do requerente, este se negou a prestar auxílio superior ao valor de R$ 0000000000 (REAIS) valor este insuficiente, não restando outra alternativa se não a propositura da presente ação.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requerente já possui a guarda unilateral, sendo assim, deseja que a guarda continue com a genitora do menor, com o direito de visita livre para o genitor.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dos fatos expostos, surgiu a necessidade de se ingressar com a presente demanda para regularizar a guarda definitiva do menor, bem como regulamentar as visitas do genitor e fixar um valor mensal a título de pensão alimentícia em favor do menor.</w:t>
      </w:r>
    </w:p>
    <w:p>
      <w:pPr>
        <w:pStyle w:val="NormalWeb"/>
        <w:spacing w:lineRule="atLeast" w:line="480"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DO DIREITO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Lei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5.478</w:t>
      </w:r>
      <w:r>
        <w:rPr>
          <w:rFonts w:cs="Tahoma" w:ascii="Tahoma" w:hAnsi="Tahoma"/>
          <w:spacing w:val="2"/>
        </w:rPr>
        <w:t>/68 dispõe sobre a prestação de alimentos, regulando esta. O artigo 1.696 do diploma Civil diz que: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Art. 1.696. O direito à prestação de alimentos é recíproco entre pais e filhos, e extensivo a todos os ascendentes, recaindo a obrigação nos mais próximos em grau, uns em falta de outros.”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O requerente encontra amparo legal no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1.695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 xml:space="preserve"> que diz: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Art. 1.695. São devidos os alimentos quando quem os pretende não tem bens suficientes, nem pode prover, pelo seu trabalho, à própria mantença, e aquele, de quem se reclamam, pode fornecê-los, sem desfalque no necessário ao seu sustento.”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Ademais, o dever de prestação de alimentos está previsto expressamente na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 xml:space="preserve">, em seu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229</w:t>
      </w:r>
      <w:r>
        <w:rPr>
          <w:rFonts w:cs="Tahoma" w:ascii="Tahoma" w:hAnsi="Tahoma"/>
          <w:spacing w:val="2"/>
        </w:rPr>
        <w:t>, sendo dever dos pais satisfazer as necessidades vitais do autor , vez que este não pode provê-las por si.</w:t>
      </w:r>
    </w:p>
    <w:p>
      <w:pPr>
        <w:pStyle w:val="NormalWeb"/>
        <w:spacing w:lineRule="atLeast" w:line="480"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DO PEDIDO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Por derradeiro, restando infrutíferas todas as tentativas para uma saída suasória, não restou à requerente outra alternativa senão a propositura da presente ação de alimento, para que seu genitor, ora requerido, seja compelido a contribuir com o necessário para que a requerente sobreviva com um mínimo de dignidade, e para tanto requer: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a) Designação de audiência prévia de conciliação, nos termos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319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VII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>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b) A citação do requerido, acima descrito, para que compareça em audiência a ser designada por Vossa Excelência, sob pena de confissão quanto a matéria de fato, podendo contestar dentro do prazo legal sob pena de sujeitar-se aos efeitos da revelia, nos moldes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344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NCPC</w:t>
      </w:r>
      <w:r>
        <w:rPr>
          <w:rFonts w:cs="Tahoma" w:ascii="Tahoma" w:hAnsi="Tahoma"/>
          <w:spacing w:val="2"/>
        </w:rPr>
        <w:t>/2015;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c) O deferimento dos benefícios da justiça gratuita por ser pobre na acepção jurídica da palavra, não podendo arcar com as despesas processuais sem privar-se do seu próprio sustento e de sua família;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d) O arbitramento de alimentos provisórios, em R$ 00000000000 (REAIS) equivalente a 00% do salário mínimo, a ser depositado na conta TAL do Banco TAL, Agência 000, conta nº 000000, conta em nome de Fulano de TAL.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e) A intimação do representante do Ministério Público para intervir no feito;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f) a procedência da presente ação, condenando-se o requerido na prestação de alimentos definitivos, na proporção de em R$ 000000000 (REAIS), equivalente a 00% do salário mínimo, a ser depositado na conta TAL do Banco TAL, Agência 000, conta nº 000, conta em nome de Fulano de TAL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g) Seja deferida a guarda definitiva do menor à genitora e regulamentada o direito a visita livre para o genitor;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h) Seja condenado o requerido ao pagamento das custas processuais e honorários advocatícios, nos moldes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546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CPC/2015</w:t>
      </w:r>
      <w:r>
        <w:rPr>
          <w:rFonts w:cs="Tahoma" w:ascii="Tahoma" w:hAnsi="Tahoma"/>
          <w:spacing w:val="2"/>
        </w:rPr>
        <w:t>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 provar o alegado por todos os meios de prova admitidos em direito, que ficam desde já requeridos, ainda que não especificados.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Atribui-se à causa o valor R$ 00000000 (REAIS) para fins de alçada, nos moldes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292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III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NCPC</w:t>
      </w:r>
      <w:r>
        <w:rPr>
          <w:rFonts w:cs="Tahoma" w:ascii="Tahoma" w:hAnsi="Tahoma"/>
          <w:spacing w:val="2"/>
        </w:rPr>
        <w:t>/2015.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24f07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d24f07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f5c98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d7a8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d7a8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24f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f5c9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d7a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d7a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28894163/artigo-287-da-lei-n-13105-de-16-de-marco-de-2015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6</Pages>
  <Words>984</Words>
  <Characters>5100</Characters>
  <CharactersWithSpaces>6046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2018-12-06T20:36:00Z</dcterms:created>
  <dc:creator>Andre</dc:creator>
  <dc:description/>
  <dc:language>pt-BR</dc:language>
  <cp:lastModifiedBy/>
  <dcterms:modified xsi:type="dcterms:W3CDTF">2020-04-15T14:53:56Z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