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color w:val="000000" w:themeColor="text1"/>
          <w:sz w:val="24"/>
          <w:szCs w:val="24"/>
        </w:rPr>
        <w:t>Processo n° 000000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1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1"/>
      <w:r>
        <w:rPr>
          <w:rFonts w:cs="Tahoma" w:ascii="Tahoma" w:hAnsi="Tahoma"/>
          <w:spacing w:val="2"/>
        </w:rPr>
        <w:t>, vem respeitosamente perante a Vossa Excelência propor:</w:t>
      </w:r>
      <w:bookmarkStart w:id="2" w:name="_Hlk482884762"/>
      <w:bookmarkEnd w:id="2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EXCEÇÃO DE PRÉ-EXECUTIVIDADE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3" w:name="_Hlk482884621"/>
      <w:bookmarkEnd w:id="3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EM RAZÃO DE NULIDADE ABSOLUTA CARREADA AO FEITO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Desde pelo menos o mês de MÊS de ANO o executado reside em CIDADE/UF, na RUA TAL, Bairro TAL, CEP 0000000, sendo certo que é fácil ao Banco verificar (via SCPC, SERASA, SCI e outros órgãos de proteção ao crédito) o endereço de alguém.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caso, pouco importando aqui se o executado foi, ou não, regularmente citado para a execução, devendo ser decretada, portanto, a nulidade de todo o procedimento, inclusive (e principalmente) no que diz respeito à suspensão/apreensão da CNH do excipiente-executado.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a ausência de citação válida carreia nulidade absoluta ao feito.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Do não cabimento da propositura da ação de execução: no caso, há também outra nulidade absoluta. Qual seja: o contrato que embasa o processo não é assinado por duas testemunhas, logo, deveria o Banco (tal como já pacificado no STJ – AC. 598.094) credor ter movido a Ação Monitória para a cobrança da dívida.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Define o artigo </w:t>
      </w:r>
      <w:hyperlink r:id="rId2" w:tgtFrame="Artigo 78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 III, do N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(o qual manteve a redação do artigo </w:t>
      </w:r>
      <w:hyperlink r:id="rId4" w:tgtFrame="Artigo 58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5" w:tgtFrame="Inciso II do Artigo 58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N</w:t>
      </w:r>
      <w:hyperlink r:id="rId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-1973):</w:t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784. São títulos executivos extrajudiciais: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o documento particular assinado pelo devedor e por 2 (duas) testemunhas;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verificada, como de fato estão, as nulidades apontadas, requer-se sejam anulados todos os atos processuais praticados e, conseguintemente, todas as decisões proferidas, inclusive a de fls. A qual, nos termos do artigo 139, IV determina a suspensão da Carteira Nacional de Habilitação, expedindo-se o competente ofício ao DETRAN/UF para a imediata devolução do documento.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anexo, comprovantes de endereço do excipiente-executado e o citado aresto do STJ.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1190"/>
      <w:bookmarkStart w:id="5" w:name="_Hlk482881190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6" w:name="_Hlk482880653"/>
      <w:bookmarkStart w:id="7" w:name="_Hlk482880653"/>
      <w:bookmarkEnd w:id="7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66ec4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66ec4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d62f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d62f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3068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f4a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d62f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d62f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3068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5831/artigo-784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72317/artigo-585-da-lei-n-5869-de-11-de-janeiro-de-1973" TargetMode="External"/><Relationship Id="rId5" Type="http://schemas.openxmlformats.org/officeDocument/2006/relationships/hyperlink" Target="http://www.jusbrasil.com.br/topicos/10672219/inciso-ii-do-artigo-585-da-lei-n-5869-de-11-de-janeiro-de-1973" TargetMode="External"/><Relationship Id="rId6" Type="http://schemas.openxmlformats.org/officeDocument/2006/relationships/hyperlink" Target="http://www.jusbrasil.com.br/legislacao/91735/c&#243;digo-processo-civil-lei-5869-73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205E-FB7F-4657-932A-FA47D71D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4</Pages>
  <Words>378</Words>
  <Characters>1948</Characters>
  <CharactersWithSpaces>2307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2017-05-22T15:31:00Z</dcterms:created>
  <dc:creator>bernardo lamenha</dc:creator>
  <dc:description/>
  <dc:language>pt-BR</dc:language>
  <cp:lastModifiedBy/>
  <dcterms:modified xsi:type="dcterms:W3CDTF">2020-04-14T02:27:43Z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