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240"/>
        <w:rPr>
          <w:rFonts w:ascii="Tahoma" w:hAnsi="Tahoma" w:cs="Tahoma"/>
          <w:b/>
          <w:b/>
          <w:sz w:val="24"/>
          <w:szCs w:val="24"/>
        </w:rPr>
      </w:pPr>
      <w:r>
        <w:rPr>
          <w:rFonts w:cs="Tahoma" w:ascii="Tahoma" w:hAnsi="Tahoma"/>
          <w:b/>
          <w:sz w:val="24"/>
          <w:szCs w:val="24"/>
        </w:rPr>
        <w:t>EGRÉGIO TRIBUNAL DE JUSTIÇA DO ESTADO TAL</w:t>
      </w:r>
    </w:p>
    <w:p>
      <w:pPr>
        <w:pStyle w:val="Normal"/>
        <w:spacing w:lineRule="auto" w:line="360" w:before="240" w:after="240"/>
        <w:rPr>
          <w:rFonts w:ascii="Tahoma" w:hAnsi="Tahoma" w:cs="Tahoma"/>
          <w:b/>
          <w:b/>
          <w:bCs/>
          <w:sz w:val="24"/>
          <w:szCs w:val="24"/>
        </w:rPr>
      </w:pPr>
      <w:r>
        <w:rPr>
          <w:rFonts w:cs="Tahoma" w:ascii="Tahoma" w:hAnsi="Tahoma"/>
          <w:b/>
          <w:bCs/>
          <w:sz w:val="24"/>
          <w:szCs w:val="24"/>
        </w:rPr>
      </w:r>
    </w:p>
    <w:p>
      <w:pPr>
        <w:pStyle w:val="Normal"/>
        <w:spacing w:lineRule="auto" w:line="360" w:before="240" w:after="240"/>
        <w:rPr>
          <w:rFonts w:ascii="Tahoma" w:hAnsi="Tahoma" w:cs="Tahoma"/>
          <w:b/>
          <w:b/>
          <w:bCs/>
          <w:sz w:val="24"/>
          <w:szCs w:val="24"/>
        </w:rPr>
      </w:pPr>
      <w:r>
        <w:rPr>
          <w:rFonts w:cs="Tahoma" w:ascii="Tahoma" w:hAnsi="Tahoma"/>
          <w:b/>
          <w:bCs/>
          <w:sz w:val="24"/>
          <w:szCs w:val="24"/>
        </w:rPr>
        <w:t>Processo n. 0000</w:t>
      </w:r>
    </w:p>
    <w:p>
      <w:pPr>
        <w:pStyle w:val="Normal"/>
        <w:spacing w:lineRule="auto" w:line="360" w:before="240" w:after="360"/>
        <w:rPr>
          <w:rFonts w:ascii="Tahoma" w:hAnsi="Tahoma" w:cs="Tahoma"/>
          <w:b/>
          <w:b/>
          <w:bCs/>
          <w:color w:val="000000"/>
          <w:spacing w:val="2"/>
          <w:sz w:val="24"/>
          <w:szCs w:val="24"/>
        </w:rPr>
      </w:pPr>
      <w:r>
        <w:rPr>
          <w:rFonts w:cs="Tahoma" w:ascii="Tahoma" w:hAnsi="Tahoma"/>
          <w:b/>
          <w:bCs/>
          <w:color w:val="000000"/>
          <w:spacing w:val="2"/>
          <w:sz w:val="24"/>
          <w:szCs w:val="24"/>
        </w:rPr>
      </w:r>
    </w:p>
    <w:p>
      <w:pPr>
        <w:pStyle w:val="Normal"/>
        <w:spacing w:lineRule="auto" w:line="360" w:before="240" w:after="360"/>
        <w:rPr>
          <w:rFonts w:ascii="Tahoma" w:hAnsi="Tahoma" w:cs="Tahoma"/>
          <w:sz w:val="24"/>
          <w:szCs w:val="24"/>
        </w:rPr>
      </w:pPr>
      <w:r>
        <w:rPr>
          <w:rFonts w:cs="Tahoma" w:ascii="Tahoma" w:hAnsi="Tahoma"/>
          <w:b/>
          <w:bCs/>
          <w:color w:val="000000"/>
          <w:spacing w:val="2"/>
          <w:sz w:val="24"/>
          <w:szCs w:val="24"/>
        </w:rPr>
        <w:t>FULANO DE TAL</w:t>
      </w:r>
      <w:r>
        <w:rPr>
          <w:rFonts w:cs="Tahoma" w:ascii="Tahoma" w:hAnsi="Tahoma"/>
          <w:sz w:val="24"/>
          <w:szCs w:val="24"/>
        </w:rPr>
        <w:t>,</w:t>
      </w:r>
      <w:r>
        <w:rPr>
          <w:rFonts w:cs="Tahoma" w:ascii="Tahoma" w:hAnsi="Tahoma"/>
          <w:b/>
          <w:sz w:val="24"/>
          <w:szCs w:val="24"/>
        </w:rPr>
        <w:t xml:space="preserve"> </w:t>
      </w:r>
      <w:r>
        <w:rPr>
          <w:rFonts w:cs="Tahoma" w:ascii="Tahoma" w:hAnsi="Tahoma"/>
          <w:sz w:val="24"/>
          <w:szCs w:val="24"/>
        </w:rPr>
        <w:t>devidamente qualificado nos autos do processo em epígrafe</w:t>
      </w:r>
      <w:r>
        <w:rPr>
          <w:rFonts w:cs="Tahoma" w:ascii="Tahoma" w:hAnsi="Tahoma"/>
          <w:color w:val="000000"/>
          <w:sz w:val="24"/>
          <w:szCs w:val="24"/>
        </w:rPr>
        <w:t xml:space="preserve">, </w:t>
      </w:r>
      <w:r>
        <w:rPr>
          <w:rFonts w:cs="Tahoma" w:ascii="Tahoma" w:hAnsi="Tahoma"/>
          <w:sz w:val="24"/>
          <w:szCs w:val="24"/>
        </w:rPr>
        <w:t xml:space="preserve">nesta ação movida em face do </w:t>
      </w:r>
      <w:r>
        <w:rPr>
          <w:rFonts w:cs="Tahoma" w:ascii="Tahoma" w:hAnsi="Tahoma"/>
          <w:b/>
          <w:color w:val="000000"/>
          <w:spacing w:val="2"/>
          <w:sz w:val="24"/>
          <w:szCs w:val="24"/>
        </w:rPr>
        <w:t>SICRANO</w:t>
      </w:r>
      <w:r>
        <w:rPr>
          <w:rFonts w:cs="Tahoma" w:ascii="Tahoma" w:hAnsi="Tahoma"/>
          <w:bCs/>
          <w:color w:val="000000"/>
          <w:sz w:val="24"/>
          <w:szCs w:val="24"/>
        </w:rPr>
        <w:t>,</w:t>
      </w:r>
      <w:r>
        <w:rPr>
          <w:rFonts w:cs="Tahoma" w:ascii="Tahoma" w:hAnsi="Tahoma"/>
          <w:color w:val="000000"/>
          <w:sz w:val="24"/>
          <w:szCs w:val="24"/>
        </w:rPr>
        <w:t xml:space="preserve"> igualmente qualificado</w:t>
      </w:r>
      <w:r>
        <w:rPr>
          <w:rFonts w:cs="Tahoma" w:ascii="Tahoma" w:hAnsi="Tahoma"/>
          <w:sz w:val="24"/>
          <w:szCs w:val="24"/>
        </w:rPr>
        <w:t>, vem, respeitosamente, perante Vossa Excelência, por seus advogados, inconformado com a sentença retro, interpor</w:t>
      </w:r>
    </w:p>
    <w:p>
      <w:pPr>
        <w:pStyle w:val="Normal"/>
        <w:spacing w:lineRule="auto" w:line="360" w:before="240" w:after="360"/>
        <w:rPr>
          <w:rFonts w:ascii="Tahoma" w:hAnsi="Tahoma" w:cs="Tahoma"/>
          <w:b/>
          <w:b/>
          <w:bCs/>
          <w:sz w:val="24"/>
          <w:szCs w:val="24"/>
        </w:rPr>
      </w:pPr>
      <w:r>
        <w:rPr>
          <w:rFonts w:cs="Tahoma" w:ascii="Tahoma" w:hAnsi="Tahoma"/>
          <w:b/>
          <w:bCs/>
          <w:sz w:val="24"/>
          <w:szCs w:val="24"/>
        </w:rPr>
      </w:r>
    </w:p>
    <w:p>
      <w:pPr>
        <w:pStyle w:val="Normal"/>
        <w:spacing w:lineRule="auto" w:line="360" w:before="240" w:after="360"/>
        <w:rPr>
          <w:rFonts w:ascii="Tahoma" w:hAnsi="Tahoma" w:cs="Tahoma"/>
          <w:b/>
          <w:b/>
          <w:bCs/>
          <w:sz w:val="24"/>
          <w:szCs w:val="24"/>
        </w:rPr>
      </w:pPr>
      <w:r>
        <w:rPr>
          <w:rFonts w:cs="Tahoma" w:ascii="Tahoma" w:hAnsi="Tahoma"/>
          <w:b/>
          <w:bCs/>
          <w:sz w:val="24"/>
          <w:szCs w:val="24"/>
        </w:rPr>
        <w:t>APELAÇÃO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nos termos dos arts. 1.009 e ss. do Novo Código de Processo Civil, através das razões anexas, as quais requer, após processadas, sejam remetidas à apreciação do Egrégio Tribunal de Justiça do Estado TAL, com as cautelas legais.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0" w:name="_Hlk19878861"/>
      <w:bookmarkEnd w:id="0"/>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ind w:left="1321" w:right="1281"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EXCELENTÍSSIMOS DESEMBARGADORES E DESEMBARGADORAS DO TRIBUNAL DE JUSTIÇA DO ESTADO TAL</w:t>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EXCELENTÍSSIMO(A) DESEMBARGADOR(A) RELATOR(A)</w:t>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RAZÕES DO RECURSO DE APELAÇÃO</w:t>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240" w:after="240"/>
        <w:rPr>
          <w:rFonts w:ascii="Tahoma" w:hAnsi="Tahoma" w:cs="Tahoma"/>
          <w:sz w:val="24"/>
          <w:szCs w:val="24"/>
        </w:rPr>
      </w:pPr>
      <w:r>
        <w:rPr>
          <w:rFonts w:cs="Tahoma" w:ascii="Tahoma" w:hAnsi="Tahoma"/>
          <w:b/>
          <w:sz w:val="24"/>
          <w:szCs w:val="24"/>
          <w14:shadow w14:blurRad="50800" w14:dist="38100" w14:dir="2700000" w14:sx="100000" w14:sy="100000" w14:kx="0" w14:ky="0" w14:algn="tl">
            <w14:srgbClr w14:val="000000">
              <w14:alpha w14:val="60000"/>
            </w14:srgbClr>
          </w14:shadow>
        </w:rPr>
        <w:t>EMÉRITAS E DOUTAS EXCELÊNCIAS</w:t>
      </w:r>
      <w:r>
        <w:rPr>
          <w:rFonts w:cs="Tahoma" w:ascii="Tahoma" w:hAnsi="Tahoma"/>
          <w:sz w:val="24"/>
          <w:szCs w:val="24"/>
        </w:rPr>
        <w:t>:</w:t>
      </w:r>
    </w:p>
    <w:p>
      <w:pPr>
        <w:pStyle w:val="Normal"/>
        <w:spacing w:lineRule="auto" w:line="360" w:before="240" w:after="240"/>
        <w:rPr>
          <w:rFonts w:ascii="Tahoma" w:hAnsi="Tahoma" w:cs="Tahoma"/>
          <w:sz w:val="24"/>
          <w:szCs w:val="24"/>
        </w:rPr>
      </w:pPr>
      <w:r>
        <w:rPr>
          <w:rFonts w:cs="Tahoma" w:ascii="Tahoma" w:hAnsi="Tahoma"/>
          <w:sz w:val="24"/>
          <w:szCs w:val="24"/>
        </w:rPr>
      </w:r>
    </w:p>
    <w:p>
      <w:pPr>
        <w:pStyle w:val="Normal"/>
        <w:spacing w:lineRule="auto" w:line="360" w:before="360" w:after="360"/>
        <w:ind w:right="142" w:hanging="0"/>
        <w:rPr>
          <w:rFonts w:ascii="Tahoma" w:hAnsi="Tahoma" w:cs="Tahoma"/>
          <w:color w:val="000000"/>
          <w:sz w:val="24"/>
          <w:szCs w:val="24"/>
        </w:rPr>
      </w:pPr>
      <w:r>
        <w:rPr>
          <w:rFonts w:cs="Tahoma" w:ascii="Tahoma" w:hAnsi="Tahoma"/>
          <w:sz w:val="24"/>
          <w:szCs w:val="24"/>
        </w:rPr>
        <w:t>Com a devida vênia ao M.M. Juiz de primeiro grau, merece ser reformada a sentença que julgou improcedente o pedido do(a) Apelante</w:t>
      </w:r>
      <w:r>
        <w:rPr>
          <w:rFonts w:cs="Tahoma" w:ascii="Tahoma" w:hAnsi="Tahoma"/>
          <w:color w:val="000000"/>
          <w:sz w:val="24"/>
          <w:szCs w:val="24"/>
        </w:rPr>
        <w:t>.</w:t>
      </w:r>
    </w:p>
    <w:p>
      <w:pPr>
        <w:pStyle w:val="Normal"/>
        <w:spacing w:lineRule="auto" w:line="360" w:before="360" w:after="360"/>
        <w:ind w:right="142" w:hanging="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O(A) Apelante ingressou com a presente ação para ver declarada a inexistência de relação jurídico-tributária que a obrigue a recolher o ICMS sobre quaisquer taxas de transmissão, distribuição e demais encargos setoriais nas contas de energia, restringindo a respectiva base de cálculo aos valores pagos a título de efetivo fornecimento e consumo de energia elétrica e a repetição do indébito do ICMS indevidamente recolhido nos últimos cinco anos.</w:t>
      </w:r>
    </w:p>
    <w:p>
      <w:pPr>
        <w:pStyle w:val="Normal"/>
        <w:spacing w:lineRule="auto" w:line="360" w:before="360" w:after="240"/>
        <w:ind w:right="142" w:hanging="0"/>
        <w:rPr>
          <w:rFonts w:ascii="Tahoma" w:hAnsi="Tahoma" w:cs="Tahoma"/>
          <w:sz w:val="24"/>
          <w:szCs w:val="24"/>
        </w:rPr>
      </w:pPr>
      <w:r>
        <w:rPr>
          <w:rFonts w:cs="Tahoma" w:ascii="Tahoma" w:hAnsi="Tahoma"/>
          <w:sz w:val="24"/>
          <w:szCs w:val="24"/>
        </w:rPr>
        <w:t>Após a defesa e da fase de instrução, foi proferida sentença de improcedência nos seguintes termos:</w:t>
      </w:r>
    </w:p>
    <w:p>
      <w:pPr>
        <w:pStyle w:val="Normal"/>
        <w:spacing w:lineRule="auto" w:line="360" w:before="360" w:after="240"/>
        <w:ind w:right="142" w:hanging="0"/>
        <w:rPr>
          <w:rFonts w:ascii="Tahoma" w:hAnsi="Tahoma" w:cs="Tahoma"/>
          <w:sz w:val="24"/>
          <w:szCs w:val="24"/>
        </w:rPr>
      </w:pPr>
      <w:r>
        <w:rPr>
          <w:rFonts w:cs="Tahoma" w:ascii="Tahoma" w:hAnsi="Tahoma"/>
          <w:sz w:val="24"/>
          <w:szCs w:val="24"/>
        </w:rPr>
      </w:r>
    </w:p>
    <w:p>
      <w:pPr>
        <w:pStyle w:val="Corpodotextorecuado"/>
        <w:ind w:left="2268" w:right="142" w:hanging="0"/>
        <w:rPr>
          <w:rFonts w:ascii="Tahoma" w:hAnsi="Tahoma" w:cs="Tahoma"/>
          <w:bCs/>
          <w:lang w:val="pt-BR"/>
        </w:rPr>
      </w:pPr>
      <w:r>
        <w:rPr>
          <w:rFonts w:cs="Tahoma" w:ascii="Tahoma" w:hAnsi="Tahoma"/>
          <w:bCs/>
          <w:lang w:val="pt-BR"/>
        </w:rPr>
      </w:r>
    </w:p>
    <w:p>
      <w:pPr>
        <w:pStyle w:val="Corpodotextorecuado"/>
        <w:ind w:left="2268" w:right="142" w:hanging="0"/>
        <w:rPr>
          <w:rFonts w:ascii="Tahoma" w:hAnsi="Tahoma" w:cs="Tahoma"/>
          <w:b/>
          <w:b/>
          <w:bCs/>
          <w:color w:val="000000"/>
          <w:lang w:val="pt-BR"/>
        </w:rPr>
      </w:pPr>
      <w:r>
        <w:rPr>
          <w:rFonts w:cs="Tahoma" w:ascii="Tahoma" w:hAnsi="Tahoma"/>
          <w:b/>
          <w:bCs/>
          <w:color w:val="000000"/>
          <w:lang w:val="pt-BR"/>
        </w:rPr>
        <w:t>... (retirar dispositivo da sentença de 1º grau)</w:t>
      </w:r>
    </w:p>
    <w:p>
      <w:pPr>
        <w:pStyle w:val="Corpodotextorecuado"/>
        <w:ind w:left="2268" w:right="142" w:hanging="0"/>
        <w:rPr>
          <w:rFonts w:ascii="Tahoma" w:hAnsi="Tahoma" w:cs="Tahoma"/>
          <w:b/>
          <w:b/>
          <w:bCs/>
          <w:color w:val="000000"/>
          <w:lang w:val="pt-BR"/>
        </w:rPr>
      </w:pPr>
      <w:r>
        <w:rPr>
          <w:rFonts w:cs="Tahoma" w:ascii="Tahoma" w:hAnsi="Tahoma"/>
          <w:b/>
          <w:bCs/>
          <w:color w:val="000000"/>
          <w:lang w:val="pt-BR"/>
        </w:rPr>
      </w:r>
    </w:p>
    <w:p>
      <w:pPr>
        <w:pStyle w:val="Corpodotextorecuado"/>
        <w:tabs>
          <w:tab w:val="clear" w:pos="720"/>
          <w:tab w:val="left" w:pos="0" w:leader="none"/>
        </w:tabs>
        <w:ind w:left="0" w:right="142" w:hanging="0"/>
        <w:rPr>
          <w:rFonts w:ascii="Tahoma" w:hAnsi="Tahoma" w:cs="Tahoma"/>
          <w:bCs/>
          <w:color w:val="FF0000"/>
          <w:lang w:val="pt-BR"/>
        </w:rPr>
      </w:pPr>
      <w:r>
        <w:rPr>
          <w:rFonts w:cs="Tahoma" w:ascii="Tahoma" w:hAnsi="Tahoma"/>
          <w:bCs/>
          <w:color w:val="FF0000"/>
          <w:lang w:val="pt-BR"/>
        </w:rPr>
      </w:r>
    </w:p>
    <w:p>
      <w:pPr>
        <w:pStyle w:val="Corpodotextorecuado"/>
        <w:tabs>
          <w:tab w:val="clear" w:pos="720"/>
          <w:tab w:val="left" w:pos="0" w:leader="none"/>
        </w:tabs>
        <w:spacing w:lineRule="auto" w:line="360" w:before="0" w:after="360"/>
        <w:ind w:left="0" w:right="142" w:hanging="0"/>
        <w:rPr>
          <w:rFonts w:ascii="Tahoma" w:hAnsi="Tahoma" w:cs="Tahoma"/>
          <w:lang w:val="pt-BR"/>
        </w:rPr>
      </w:pPr>
      <w:r>
        <w:rPr>
          <w:rFonts w:cs="Tahoma" w:ascii="Tahoma" w:hAnsi="Tahoma"/>
          <w:lang w:val="pt-BR"/>
        </w:rPr>
        <w:t>Entretanto, tal entendimento não deve prosperar, razão pela qual, o(a) Apelante interpõe o presente Recurso de Apelação, pois a decisão do Juízo sentenciante viola frontalmente diversos dispositivos legais, bem como vai de encontro à interpretação conferida pelos tribunais pátrios ao tema, pelo que deve ser reformada a sentença.</w:t>
      </w:r>
    </w:p>
    <w:p>
      <w:pPr>
        <w:pStyle w:val="Corpodotextorecuado"/>
        <w:tabs>
          <w:tab w:val="clear" w:pos="720"/>
          <w:tab w:val="left" w:pos="0" w:leader="none"/>
        </w:tabs>
        <w:spacing w:lineRule="auto" w:line="360" w:before="0" w:after="360"/>
        <w:ind w:left="0" w:right="142" w:hanging="0"/>
        <w:rPr>
          <w:rFonts w:ascii="Tahoma" w:hAnsi="Tahoma" w:cs="Tahoma"/>
          <w:lang w:val="pt-BR"/>
        </w:rPr>
      </w:pPr>
      <w:r>
        <w:rPr>
          <w:rFonts w:cs="Tahoma" w:ascii="Tahoma" w:hAnsi="Tahoma"/>
          <w:lang w:val="pt-BR"/>
        </w:rPr>
      </w:r>
    </w:p>
    <w:p>
      <w:pPr>
        <w:pStyle w:val="Corpodotextorecuado"/>
        <w:tabs>
          <w:tab w:val="clear" w:pos="720"/>
          <w:tab w:val="left" w:pos="0" w:leader="none"/>
        </w:tabs>
        <w:spacing w:lineRule="auto" w:line="360" w:before="0" w:after="360"/>
        <w:ind w:left="0" w:right="142" w:hanging="0"/>
        <w:rPr>
          <w:rFonts w:ascii="Tahoma" w:hAnsi="Tahoma" w:cs="Tahoma"/>
          <w:b/>
          <w:b/>
          <w:bCs/>
          <w:lang w:val="pt-BR"/>
        </w:rPr>
      </w:pPr>
      <w:r>
        <w:rPr>
          <w:rFonts w:cs="Tahoma" w:ascii="Tahoma" w:hAnsi="Tahoma"/>
          <w:b/>
          <w:bCs/>
          <w:lang w:val="pt-BR"/>
        </w:rPr>
        <w:t>DA REFORMA DA SENTENÇA</w:t>
      </w:r>
    </w:p>
    <w:p>
      <w:pPr>
        <w:pStyle w:val="Corpodotextorecuado"/>
        <w:tabs>
          <w:tab w:val="clear" w:pos="720"/>
          <w:tab w:val="left" w:pos="0" w:leader="none"/>
        </w:tabs>
        <w:spacing w:lineRule="auto" w:line="360" w:before="0" w:after="360"/>
        <w:ind w:left="0" w:right="142" w:hanging="0"/>
        <w:rPr>
          <w:rFonts w:ascii="Tahoma" w:hAnsi="Tahoma" w:cs="Tahoma"/>
          <w:lang w:val="pt-BR"/>
        </w:rPr>
      </w:pPr>
      <w:r>
        <w:rPr>
          <w:rFonts w:cs="Tahoma" w:ascii="Tahoma" w:hAnsi="Tahoma"/>
          <w:lang w:val="pt-BR"/>
        </w:rPr>
      </w:r>
    </w:p>
    <w:p>
      <w:pPr>
        <w:pStyle w:val="Corpodotextorecuado"/>
        <w:tabs>
          <w:tab w:val="clear" w:pos="720"/>
          <w:tab w:val="left" w:pos="0" w:leader="none"/>
        </w:tabs>
        <w:spacing w:lineRule="auto" w:line="360" w:before="0" w:after="360"/>
        <w:ind w:left="0" w:right="142" w:hanging="0"/>
        <w:rPr>
          <w:rFonts w:ascii="Tahoma" w:hAnsi="Tahoma" w:cs="Tahoma"/>
        </w:rPr>
      </w:pPr>
      <w:r>
        <w:rPr>
          <w:rFonts w:cs="Tahoma" w:ascii="Tahoma" w:hAnsi="Tahoma"/>
          <w:lang w:val="pt-BR"/>
        </w:rPr>
        <w:t>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esclarecer que o transporte da energia (da geradora à unidade consumidora) é dividido em dois segmentos: transmissão (TUST) e distribuição (TUSD). A transmissão entrega a energia à distribuidora e a esta, por sua vez, distribui a energia ao usuário final.</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lang w:val="pt-BR"/>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pela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rPr>
      </w:pPr>
      <w:r>
        <w:rPr>
          <w:rFonts w:cs="Tahoma" w:ascii="Tahoma" w:hAnsi="Tahoma"/>
          <w:sz w:val="24"/>
          <w:szCs w:val="24"/>
        </w:rPr>
        <w:t xml:space="preserve">(AgRg no AREsp 845.353/SC, Rel. </w:t>
      </w:r>
      <w:r>
        <w:rPr>
          <w:rFonts w:cs="Tahoma" w:ascii="Tahoma" w:hAnsi="Tahoma"/>
          <w:sz w:val="24"/>
          <w:szCs w:val="24"/>
          <w:lang w:val="pt-BR"/>
        </w:rPr>
        <w:t>Ministro HUMBERTO MARTINS, SEGUNDA TURMA, julgado em 05/04/2016, DJe 13/04/2016,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 carecendo de razão os argumentos adotados em primeira instância para a improcedência dos pedidos.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rmal"/>
        <w:spacing w:lineRule="auto" w:line="360"/>
        <w:rPr>
          <w:rFonts w:ascii="Tahoma" w:hAnsi="Tahoma" w:cs="Tahoma"/>
          <w:sz w:val="24"/>
          <w:szCs w:val="24"/>
          <w:lang w:eastAsia="pt-BR"/>
        </w:rPr>
      </w:pPr>
      <w:r>
        <w:rPr>
          <w:rFonts w:cs="Tahoma" w:ascii="Tahoma" w:hAnsi="Tahoma"/>
          <w:sz w:val="24"/>
          <w:szCs w:val="24"/>
          <w:lang w:eastAsia="pt-BR"/>
        </w:rPr>
        <w:t>Diante de todo o exposto, requer seja dado provimento ao presente Recurso de Apelação, reformando-se a sentença que julgou improcedente os pedidos do Apelante, para que:</w:t>
      </w:r>
    </w:p>
    <w:p>
      <w:pPr>
        <w:pStyle w:val="Normal"/>
        <w:spacing w:lineRule="auto" w:line="360"/>
        <w:rPr>
          <w:rFonts w:ascii="Tahoma" w:hAnsi="Tahoma" w:cs="Tahoma"/>
          <w:sz w:val="24"/>
          <w:szCs w:val="24"/>
          <w:lang w:eastAsia="pt-BR"/>
        </w:rPr>
      </w:pPr>
      <w:r>
        <w:rPr>
          <w:rFonts w:cs="Tahoma" w:ascii="Tahoma" w:hAnsi="Tahoma"/>
          <w:sz w:val="24"/>
          <w:szCs w:val="24"/>
          <w:lang w:eastAsia="pt-BR"/>
        </w:rPr>
      </w:r>
    </w:p>
    <w:p>
      <w:pPr>
        <w:pStyle w:val="Normal"/>
        <w:numPr>
          <w:ilvl w:val="0"/>
          <w:numId w:val="1"/>
        </w:numPr>
        <w:spacing w:lineRule="auto" w:line="360"/>
        <w:ind w:hanging="0"/>
        <w:rPr>
          <w:rFonts w:ascii="Tahoma" w:hAnsi="Tahoma" w:cs="Tahoma"/>
          <w:sz w:val="24"/>
          <w:szCs w:val="24"/>
          <w:lang w:eastAsia="pt-BR"/>
        </w:rPr>
      </w:pPr>
      <w:r>
        <w:rPr>
          <w:rFonts w:cs="Tahoma" w:ascii="Tahoma" w:hAnsi="Tahoma"/>
          <w:sz w:val="24"/>
          <w:szCs w:val="24"/>
          <w:lang w:eastAsia="pt-BR"/>
        </w:rPr>
        <w:t>seja declarada a inexistência de relação jurídico-tributária entre o Apelante e Apelado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rmal"/>
        <w:spacing w:lineRule="auto" w:line="360"/>
        <w:ind w:left="1494" w:hanging="0"/>
        <w:rPr>
          <w:rFonts w:ascii="Tahoma" w:hAnsi="Tahoma" w:cs="Tahoma"/>
          <w:sz w:val="24"/>
          <w:szCs w:val="24"/>
          <w:lang w:eastAsia="pt-BR"/>
        </w:rPr>
      </w:pPr>
      <w:r>
        <w:rPr>
          <w:rFonts w:cs="Tahoma" w:ascii="Tahoma" w:hAnsi="Tahoma"/>
          <w:sz w:val="24"/>
          <w:szCs w:val="24"/>
          <w:lang w:eastAsia="pt-BR"/>
        </w:rPr>
      </w:r>
    </w:p>
    <w:p>
      <w:pPr>
        <w:pStyle w:val="Normal"/>
        <w:numPr>
          <w:ilvl w:val="0"/>
          <w:numId w:val="1"/>
        </w:numPr>
        <w:spacing w:lineRule="auto" w:line="360"/>
        <w:ind w:hanging="0"/>
        <w:rPr>
          <w:rFonts w:ascii="Tahoma" w:hAnsi="Tahoma" w:cs="Tahoma"/>
          <w:sz w:val="24"/>
          <w:szCs w:val="24"/>
        </w:rPr>
      </w:pPr>
      <w:r>
        <w:rPr>
          <w:rFonts w:cs="Tahoma" w:ascii="Tahoma" w:hAnsi="Tahoma"/>
          <w:sz w:val="24"/>
          <w:szCs w:val="24"/>
          <w:lang w:eastAsia="pt-BR"/>
        </w:rPr>
        <w:t>seja a Apelante restituída de todos os valores indevidamente recolhidos, inclusive nos cinco anos anteriores ao ajuizamento desta ação, acrescidos de correção monetária e juros legais a contar da citação;</w:t>
      </w:r>
    </w:p>
    <w:p>
      <w:pPr>
        <w:pStyle w:val="Normal"/>
        <w:spacing w:lineRule="auto" w:line="360"/>
        <w:ind w:left="1494" w:hanging="0"/>
        <w:rPr>
          <w:rFonts w:ascii="Tahoma" w:hAnsi="Tahoma" w:cs="Tahoma"/>
          <w:sz w:val="24"/>
          <w:szCs w:val="24"/>
        </w:rPr>
      </w:pPr>
      <w:r>
        <w:rPr>
          <w:rFonts w:cs="Tahoma" w:ascii="Tahoma" w:hAnsi="Tahoma"/>
          <w:sz w:val="24"/>
          <w:szCs w:val="24"/>
        </w:rPr>
      </w:r>
    </w:p>
    <w:p>
      <w:pPr>
        <w:pStyle w:val="Normal"/>
        <w:numPr>
          <w:ilvl w:val="0"/>
          <w:numId w:val="1"/>
        </w:numPr>
        <w:spacing w:lineRule="auto" w:line="360"/>
        <w:ind w:hanging="0"/>
        <w:rPr>
          <w:rFonts w:ascii="Tahoma" w:hAnsi="Tahoma" w:cs="Tahoma"/>
          <w:sz w:val="24"/>
          <w:szCs w:val="24"/>
          <w:lang w:eastAsia="pt-BR"/>
        </w:rPr>
      </w:pPr>
      <w:r>
        <w:rPr>
          <w:rFonts w:cs="Tahoma" w:ascii="Tahoma" w:hAnsi="Tahoma"/>
          <w:sz w:val="24"/>
          <w:szCs w:val="24"/>
          <w:lang w:eastAsia="pt-BR"/>
        </w:rPr>
        <w:t>seja o Apelado condenado a arcar com as custas processuais e honorários advocatícios.</w:t>
      </w:r>
      <w:bookmarkStart w:id="1" w:name="_GoBack"/>
      <w:bookmarkEnd w:id="1"/>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240" w:after="300"/>
        <w:rPr>
          <w:rFonts w:ascii="Tahoma" w:hAnsi="Tahoma" w:cs="Tahoma"/>
          <w:b/>
          <w:b/>
        </w:rPr>
      </w:pPr>
      <w:r>
        <w:rP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color w:val="2A64A6"/>
        <w:sz w:val="18"/>
        <w:szCs w:val="18"/>
      </w:rPr>
    </w:pPr>
    <w:r>
      <w:rPr>
        <w:color w:val="2A64A6"/>
        <w:sz w:val="18"/>
        <w:szCs w:val="18"/>
      </w:rPr>
      <mc:AlternateContent>
        <mc:Choice Requires="wps">
          <w:drawing>
            <wp:anchor behindDoc="1" distT="0" distB="0" distL="0" distR="0" simplePos="0" locked="0" layoutInCell="1" allowOverlap="1" relativeHeight="21" wp14:anchorId="072630E0">
              <wp:simplePos x="0" y="0"/>
              <wp:positionH relativeFrom="page">
                <wp:posOffset>6772275</wp:posOffset>
              </wp:positionH>
              <wp:positionV relativeFrom="paragraph">
                <wp:posOffset>137160</wp:posOffset>
              </wp:positionV>
              <wp:extent cx="130175" cy="155575"/>
              <wp:effectExtent l="0" t="0" r="0" b="0"/>
              <wp:wrapSquare wrapText="largest"/>
              <wp:docPr id="1" name="Quadro1"/>
              <a:graphic xmlns:a="http://schemas.openxmlformats.org/drawingml/2006/main">
                <a:graphicData uri="http://schemas.microsoft.com/office/word/2010/wordprocessingShape">
                  <wps:wsp>
                    <wps:cNvSpPr/>
                    <wps:spPr>
                      <a:xfrm>
                        <a:off x="0" y="0"/>
                        <a:ext cx="129600" cy="154800"/>
                      </a:xfrm>
                      <a:prstGeom prst="rect">
                        <a:avLst/>
                      </a:prstGeom>
                      <a:noFill/>
                      <a:ln>
                        <a:noFill/>
                      </a:ln>
                    </wps:spPr>
                    <wps:style>
                      <a:lnRef idx="0"/>
                      <a:fillRef idx="0"/>
                      <a:effectRef idx="0"/>
                      <a:fontRef idx="minor"/>
                    </wps:style>
                    <wps:txbx>
                      <w:txbxContent>
                        <w:p>
                          <w:pPr>
                            <w:pStyle w:val="Rodap"/>
                            <w:rPr/>
                          </w:pPr>
                          <w:r>
                            <w:rPr>
                              <w:rStyle w:val="Pagenumber"/>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20</w:t>
                          </w:r>
                          <w:r>
                            <w:rPr>
                              <w:rStyle w:val="Pagenumber"/>
                              <w:sz w:val="20"/>
                              <w:szCs w:val="20"/>
                            </w:rPr>
                            <w:fldChar w:fldCharType="end"/>
                          </w:r>
                        </w:p>
                      </w:txbxContent>
                    </wps:txbx>
                    <wps:bodyPr lIns="0" rIns="0" tIns="0" bIns="0">
                      <a:noAutofit/>
                    </wps:bodyPr>
                  </wps:wsp>
                </a:graphicData>
              </a:graphic>
            </wp:anchor>
          </w:drawing>
        </mc:Choice>
        <mc:Fallback>
          <w:pict>
            <v:rect id="shape_0" ID="Quadro1" fillcolor="white" stroked="f" style="position:absolute;margin-left:533.25pt;margin-top:10.8pt;width:10.15pt;height:12.15pt;mso-position-horizontal-relative:page" wp14:anchorId="072630E0">
              <w10:wrap type="square"/>
              <v:fill o:detectmouseclick="t" type="solid" color2="black" opacity="0"/>
              <v:stroke color="#3465a4" joinstyle="round" endcap="flat"/>
              <v:textbox>
                <w:txbxContent>
                  <w:p>
                    <w:pPr>
                      <w:pStyle w:val="Rodap"/>
                      <w:rPr/>
                    </w:pPr>
                    <w:r>
                      <w:rPr>
                        <w:rStyle w:val="Pagenumber"/>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20</w:t>
                    </w:r>
                    <w:r>
                      <w:rPr>
                        <w:rStyle w:val="Pagenumber"/>
                        <w:sz w:val="20"/>
                        <w:szCs w:val="20"/>
                      </w:rPr>
                      <w:fldChar w:fldCharType="end"/>
                    </w:r>
                  </w:p>
                </w:txbxContent>
              </v:textbox>
            </v:rect>
          </w:pict>
        </mc:Fallback>
      </mc:AlternateContent>
    </w:r>
  </w:p>
  <w:p>
    <w:pPr>
      <w:pStyle w:val="Rodap"/>
      <w:rPr/>
    </w:pPr>
    <w:r>
      <w:rPr/>
    </w:r>
    <w:bookmarkStart w:id="4" w:name="_Hlk18660203"/>
    <w:bookmarkStart w:id="5" w:name="_Hlk18660203"/>
    <w:bookmarkEnd w:id="5"/>
  </w:p>
  <w:p>
    <w:pPr>
      <w:pStyle w:val="NormalWeb"/>
      <w:spacing w:before="0" w:after="0"/>
      <w:jc w:val="center"/>
      <w:rPr>
        <w:color w:val="2A64A6"/>
        <w:sz w:val="18"/>
        <w:szCs w:val="18"/>
        <w:lang w:val="pt-BR"/>
      </w:rPr>
    </w:pPr>
    <w:r>
      <w:rPr>
        <w:color w:val="2A64A6"/>
        <w:sz w:val="18"/>
        <w:szCs w:val="18"/>
        <w:lang w:val="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2" w:name="_Hlk19040810"/>
    <w:bookmarkStart w:id="3" w:name="_Hlk19040810"/>
    <w:bookmarkEnd w:id="3"/>
  </w:p>
  <w:p>
    <w:pPr>
      <w:pStyle w:val="Normal"/>
      <w:widowControl/>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494" w:hanging="360"/>
      </w:pPr>
      <w:rPr>
        <w:sz w:val="24"/>
        <w:szCs w:val="24"/>
        <w:rFonts w:cs="Arial"/>
        <w:lang w:eastAsia="pt-B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bidi="ar-SA" w:val="pt-BR" w:eastAsia="zh-CN"/>
    </w:rPr>
  </w:style>
  <w:style w:type="character" w:styleId="DefaultParagraphFont" w:default="1">
    <w:name w:val="Default Paragraph Font"/>
    <w:uiPriority w:val="1"/>
    <w:semiHidden/>
    <w:unhideWhenUsed/>
    <w:qFormat/>
    <w:rPr/>
  </w:style>
  <w:style w:type="character" w:styleId="WW8Num1z0" w:customStyle="1">
    <w:name w:val="WW8Num1z0"/>
    <w:qFormat/>
    <w:rPr>
      <w:rFonts w:ascii="Arial" w:hAnsi="Arial" w:cs="Arial"/>
      <w:sz w:val="24"/>
      <w:szCs w:val="24"/>
      <w:lang w:eastAsia="pt-BR"/>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cs="Arial"/>
    </w:rPr>
  </w:style>
  <w:style w:type="character" w:styleId="WW8Num5z0" w:customStyle="1">
    <w:name w:val="WW8Num5z0"/>
    <w:qFormat/>
    <w:rPr/>
  </w:style>
  <w:style w:type="character" w:styleId="CabealhoChar" w:customStyle="1">
    <w:name w:val="Cabeçalho Char"/>
    <w:basedOn w:val="DefaultParagraphFont"/>
    <w:qFormat/>
    <w:rPr/>
  </w:style>
  <w:style w:type="character" w:styleId="RodapChar" w:customStyle="1">
    <w:name w:val="Rodapé Char"/>
    <w:basedOn w:val="DefaultParagraphFont"/>
    <w:uiPriority w:val="99"/>
    <w:qFormat/>
    <w:rPr/>
  </w:style>
  <w:style w:type="character" w:styleId="TextodebaloChar" w:customStyle="1">
    <w:name w:val="Texto de balão Char"/>
    <w:qFormat/>
    <w:rPr>
      <w:rFonts w:ascii="Tahoma" w:hAnsi="Tahoma" w:cs="Tahoma"/>
      <w:sz w:val="16"/>
      <w:szCs w:val="16"/>
    </w:rPr>
  </w:style>
  <w:style w:type="character" w:styleId="Pagenumber">
    <w:name w:val="page number"/>
    <w:basedOn w:val="DefaultParagraphFont"/>
    <w:qFormat/>
    <w:rPr/>
  </w:style>
  <w:style w:type="character" w:styleId="Caracteresdenotaderodap" w:customStyle="1">
    <w:name w:val="Caracteres de nota de rodapé"/>
    <w:qFormat/>
    <w:rPr>
      <w:rFonts w:cs="Times New Roman"/>
      <w:vertAlign w:val="superscript"/>
    </w:rPr>
  </w:style>
  <w:style w:type="character" w:styleId="TextodenotaderodapChar" w:customStyle="1">
    <w:name w:val="Texto de nota de rodapé Char"/>
    <w:qFormat/>
    <w:rPr>
      <w:rFonts w:ascii="Times New Roman" w:hAnsi="Times New Roman" w:cs="Times New Roman"/>
    </w:rPr>
  </w:style>
  <w:style w:type="character" w:styleId="Hl" w:customStyle="1">
    <w:name w:val="hl"/>
    <w:basedOn w:val="DefaultParagraphFont"/>
    <w:qFormat/>
    <w:rPr/>
  </w:style>
  <w:style w:type="character" w:styleId="Nfaseforte" w:customStyle="1">
    <w:name w:val="Ênfase forte"/>
    <w:qFormat/>
    <w:rPr>
      <w:b/>
      <w:bCs/>
    </w:rPr>
  </w:style>
  <w:style w:type="character" w:styleId="RecuodecorpodetextoChar" w:customStyle="1">
    <w:name w:val="Recuo de corpo de texto Char"/>
    <w:qFormat/>
    <w:rPr>
      <w:rFonts w:ascii="Times New Roman" w:hAnsi="Times New Roman" w:eastAsia="Times New Roman" w:cs="Times New Roman"/>
      <w:sz w:val="24"/>
      <w:szCs w:val="24"/>
      <w:lang w:val="en-US"/>
    </w:rPr>
  </w:style>
  <w:style w:type="character" w:styleId="LinkdaInternet" w:customStyle="1">
    <w:name w:val="Link da Internet"/>
    <w:rPr>
      <w:color w:val="0000FF"/>
      <w:u w:val="single"/>
    </w:rPr>
  </w:style>
  <w:style w:type="character" w:styleId="PargrafoNormalChar" w:customStyle="1">
    <w:name w:val="Parágrafo Normal Char"/>
    <w:qFormat/>
    <w:rPr>
      <w:rFonts w:ascii="Arial" w:hAnsi="Arial" w:eastAsia="Times New Roman" w:cs="Arial"/>
      <w:sz w:val="24"/>
      <w:szCs w:val="24"/>
    </w:rPr>
  </w:style>
  <w:style w:type="character" w:styleId="CorpodetextoChar" w:customStyle="1">
    <w:name w:val="Corpo de texto Char"/>
    <w:qFormat/>
    <w:rPr>
      <w:sz w:val="22"/>
      <w:szCs w:val="22"/>
    </w:rPr>
  </w:style>
  <w:style w:type="character" w:styleId="Ncoradanotaderodap" w:customStyle="1">
    <w:name w:val="Âncora da nota de rodapé"/>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alhoeRodap">
    <w:name w:val="Cabeçalho e Rodapé"/>
    <w:basedOn w:val="Normal"/>
    <w:qFormat/>
    <w:pPr/>
    <w:rPr/>
  </w:style>
  <w:style w:type="paragraph" w:styleId="Cabealho">
    <w:name w:val="Header"/>
    <w:basedOn w:val="Normal"/>
    <w:pPr>
      <w:spacing w:lineRule="auto" w:line="240" w:before="0" w:after="0"/>
    </w:pPr>
    <w:rPr/>
  </w:style>
  <w:style w:type="paragraph" w:styleId="Rodap">
    <w:name w:val="Footer"/>
    <w:basedOn w:val="Normal"/>
    <w:uiPriority w:val="99"/>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rmalWeb">
    <w:name w:val="Normal (Web)"/>
    <w:basedOn w:val="Normal"/>
    <w:uiPriority w:val="99"/>
    <w:qFormat/>
    <w:pPr>
      <w:spacing w:lineRule="auto" w:line="240" w:before="280" w:after="280"/>
    </w:pPr>
    <w:rPr>
      <w:rFonts w:ascii="Times New Roman" w:hAnsi="Times New Roman"/>
      <w:sz w:val="24"/>
      <w:szCs w:val="24"/>
      <w:lang w:val="en-US"/>
    </w:rPr>
  </w:style>
  <w:style w:type="paragraph" w:styleId="SemEspaamento1" w:customStyle="1">
    <w:name w:val="Sem Espaçamento1"/>
    <w:qFormat/>
    <w:pPr>
      <w:widowControl/>
      <w:bidi w:val="0"/>
      <w:spacing w:before="0" w:after="0"/>
      <w:jc w:val="left"/>
    </w:pPr>
    <w:rPr>
      <w:rFonts w:ascii="Calibri" w:hAnsi="Calibri" w:eastAsia="Calibri" w:cs="Times New Roman"/>
      <w:color w:val="auto"/>
      <w:kern w:val="0"/>
      <w:sz w:val="22"/>
      <w:szCs w:val="22"/>
      <w:lang w:val="en-US" w:bidi="ar-SA" w:eastAsia="zh-CN"/>
    </w:rPr>
  </w:style>
  <w:style w:type="paragraph" w:styleId="Notaderodap">
    <w:name w:val="Footnote Text"/>
    <w:basedOn w:val="Normal"/>
    <w:pPr>
      <w:spacing w:lineRule="auto" w:line="240" w:before="0" w:after="0"/>
    </w:pPr>
    <w:rPr>
      <w:rFonts w:ascii="Times New Roman" w:hAnsi="Times New Roman"/>
      <w:sz w:val="20"/>
      <w:szCs w:val="20"/>
    </w:rPr>
  </w:style>
  <w:style w:type="paragraph" w:styleId="Tj" w:customStyle="1">
    <w:name w:val="tj"/>
    <w:basedOn w:val="Normal"/>
    <w:qFormat/>
    <w:pPr>
      <w:spacing w:lineRule="auto" w:line="240" w:before="280" w:after="280"/>
    </w:pPr>
    <w:rPr>
      <w:rFonts w:ascii="Times New Roman" w:hAnsi="Times New Roman" w:eastAsia="Times New Roman"/>
      <w:sz w:val="24"/>
      <w:szCs w:val="24"/>
    </w:rPr>
  </w:style>
  <w:style w:type="paragraph" w:styleId="WWSemEspaamento1" w:customStyle="1">
    <w:name w:val="WW-Sem Espaçamento1"/>
    <w:qFormat/>
    <w:pPr>
      <w:widowControl/>
      <w:bidi w:val="0"/>
      <w:spacing w:before="0" w:after="0"/>
      <w:jc w:val="left"/>
    </w:pPr>
    <w:rPr>
      <w:rFonts w:ascii="Calibri" w:hAnsi="Calibri" w:eastAsia="Calibri" w:cs="Times New Roman"/>
      <w:color w:val="auto"/>
      <w:kern w:val="0"/>
      <w:sz w:val="22"/>
      <w:szCs w:val="22"/>
      <w:lang w:val="en-US" w:bidi="ar-SA" w:eastAsia="zh-CN"/>
    </w:rPr>
  </w:style>
  <w:style w:type="paragraph" w:styleId="NoSpacing1" w:customStyle="1">
    <w:name w:val="No Spacing1"/>
    <w:qFormat/>
    <w:pPr>
      <w:widowControl/>
      <w:bidi w:val="0"/>
      <w:spacing w:before="0" w:after="0"/>
      <w:jc w:val="left"/>
    </w:pPr>
    <w:rPr>
      <w:rFonts w:ascii="Calibri" w:hAnsi="Calibri" w:eastAsia="Calibri" w:cs="Times New Roman"/>
      <w:color w:val="auto"/>
      <w:kern w:val="0"/>
      <w:sz w:val="22"/>
      <w:szCs w:val="22"/>
      <w:lang w:val="en-US" w:bidi="ar-SA" w:eastAsia="zh-CN"/>
    </w:rPr>
  </w:style>
  <w:style w:type="paragraph" w:styleId="ListParagraph">
    <w:name w:val="List Paragraph"/>
    <w:basedOn w:val="Normal"/>
    <w:qFormat/>
    <w:pPr>
      <w:spacing w:lineRule="auto" w:line="240" w:before="0" w:after="0"/>
      <w:ind w:left="720" w:hanging="0"/>
      <w:contextualSpacing/>
    </w:pPr>
    <w:rPr>
      <w:rFonts w:ascii="Times New Roman" w:hAnsi="Times New Roman" w:eastAsia="Times New Roman"/>
      <w:sz w:val="24"/>
      <w:szCs w:val="24"/>
    </w:rPr>
  </w:style>
  <w:style w:type="paragraph" w:styleId="Corpodotextorecuado">
    <w:name w:val="Body Text Indent"/>
    <w:basedOn w:val="Normal"/>
    <w:pPr>
      <w:spacing w:lineRule="auto" w:line="240" w:before="0" w:after="120"/>
      <w:ind w:left="283" w:hanging="0"/>
    </w:pPr>
    <w:rPr>
      <w:rFonts w:ascii="Times New Roman" w:hAnsi="Times New Roman" w:eastAsia="Times New Roman"/>
      <w:sz w:val="24"/>
      <w:szCs w:val="24"/>
      <w:lang w:val="en-US"/>
    </w:rPr>
  </w:style>
  <w:style w:type="paragraph" w:styleId="Destaque1" w:customStyle="1">
    <w:name w:val="Destaque1"/>
    <w:qFormat/>
    <w:pPr>
      <w:widowControl w:val="false"/>
      <w:bidi w:val="0"/>
      <w:spacing w:before="0" w:after="0"/>
      <w:ind w:left="850" w:firstLine="567"/>
      <w:jc w:val="both"/>
    </w:pPr>
    <w:rPr>
      <w:rFonts w:ascii="Arial" w:hAnsi="Arial" w:eastAsia="Times New Roman" w:cs="Arial"/>
      <w:color w:val="auto"/>
      <w:kern w:val="0"/>
      <w:sz w:val="22"/>
      <w:szCs w:val="22"/>
      <w:lang w:bidi="ar-SA" w:val="pt-BR" w:eastAsia="zh-CN"/>
    </w:rPr>
  </w:style>
  <w:style w:type="paragraph" w:styleId="Texto" w:customStyle="1">
    <w:name w:val="Texto"/>
    <w:qFormat/>
    <w:pPr>
      <w:widowControl w:val="false"/>
      <w:bidi w:val="0"/>
      <w:spacing w:lineRule="auto" w:line="360" w:before="0" w:after="0"/>
      <w:ind w:firstLine="1417"/>
      <w:jc w:val="both"/>
    </w:pPr>
    <w:rPr>
      <w:rFonts w:ascii="Arial" w:hAnsi="Arial" w:eastAsia="Times New Roman" w:cs="Arial"/>
      <w:color w:val="auto"/>
      <w:kern w:val="0"/>
      <w:sz w:val="22"/>
      <w:szCs w:val="24"/>
      <w:lang w:bidi="ar-SA" w:val="pt-BR" w:eastAsia="zh-CN"/>
    </w:rPr>
  </w:style>
  <w:style w:type="paragraph" w:styleId="PargrafoNormal" w:customStyle="1">
    <w:name w:val="Parágrafo Normal"/>
    <w:basedOn w:val="Normal"/>
    <w:qFormat/>
    <w:pPr>
      <w:spacing w:lineRule="auto" w:line="360" w:before="0" w:after="60"/>
      <w:ind w:firstLine="1418"/>
      <w:jc w:val="both"/>
    </w:pPr>
    <w:rPr>
      <w:rFonts w:ascii="Arial" w:hAnsi="Arial" w:eastAsia="Times New Roman" w:cs="Arial"/>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Application>LibreOffice/6.4.2.2$Windows_X86_64 LibreOffice_project/4e471d8c02c9c90f512f7f9ead8875b57fcb1ec3</Application>
  <Pages>22</Pages>
  <Words>4155</Words>
  <Characters>22760</Characters>
  <CharactersWithSpaces>26807</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2015-04-03T22:15:00Z</dcterms:created>
  <dc:creator>BBR</dc:creator>
  <dc:description/>
  <dc:language>pt-BR</dc:language>
  <cp:lastModifiedBy/>
  <cp:lastPrinted>2012-03-13T20:50:00Z</cp:lastPrinted>
  <dcterms:modified xsi:type="dcterms:W3CDTF">2020-04-15T14:50:09Z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