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0" w:hanging="0"/>
        <w:rPr>
          <w:rFonts w:ascii="Tahoma" w:hAnsi="Tahoma" w:cs="Tahoma"/>
          <w:b/>
          <w:b/>
        </w:rPr>
      </w:pPr>
      <w:r>
        <w:rPr>
          <w:rFonts w:cs="Tahoma" w:ascii="Tahoma" w:hAnsi="Tahoma"/>
          <w:b/>
        </w:rPr>
        <w:t>AO DOUTO JUÍZO DE DIREITO DA 00ª VARA CÍVEL DO FORO DE CIDADE/UF</w:t>
      </w:r>
      <w:bookmarkStart w:id="0" w:name="_Hlk26956703"/>
      <w:bookmarkEnd w:id="0"/>
    </w:p>
    <w:p>
      <w:pPr>
        <w:pStyle w:val="Normal"/>
        <w:spacing w:lineRule="auto" w:line="360" w:before="240" w:after="240"/>
        <w:rPr>
          <w:rFonts w:ascii="Tahoma" w:hAnsi="Tahoma" w:cs="Tahoma"/>
          <w:b/>
          <w:b/>
          <w:bCs/>
          <w:sz w:val="24"/>
          <w:szCs w:val="24"/>
        </w:rPr>
      </w:pPr>
      <w:r>
        <w:rPr>
          <w:rFonts w:cs="Tahoma" w:ascii="Tahoma" w:hAnsi="Tahoma"/>
          <w:b/>
          <w:bCs/>
          <w:sz w:val="24"/>
          <w:szCs w:val="24"/>
        </w:rPr>
      </w:r>
    </w:p>
    <w:p>
      <w:pPr>
        <w:pStyle w:val="Normal"/>
        <w:spacing w:lineRule="auto" w:line="360" w:before="240" w:after="240"/>
        <w:rPr>
          <w:rFonts w:ascii="Tahoma" w:hAnsi="Tahoma" w:cs="Tahoma"/>
          <w:sz w:val="24"/>
          <w:szCs w:val="24"/>
        </w:rPr>
      </w:pPr>
      <w:r>
        <w:rPr>
          <w:rFonts w:cs="Tahoma" w:ascii="Tahoma" w:hAnsi="Tahoma"/>
          <w:b/>
          <w:bCs/>
          <w:sz w:val="24"/>
          <w:szCs w:val="24"/>
        </w:rPr>
        <w:t>Processo n</w:t>
      </w:r>
      <w:r>
        <w:rPr>
          <w:rFonts w:cs="Tahoma" w:ascii="Tahoma" w:hAnsi="Tahoma"/>
          <w:b/>
          <w:bCs/>
          <w:color w:val="000000"/>
          <w:spacing w:val="2"/>
          <w:sz w:val="24"/>
          <w:szCs w:val="24"/>
        </w:rPr>
        <w:t>º 00000</w:t>
      </w:r>
    </w:p>
    <w:p>
      <w:pPr>
        <w:pStyle w:val="Normal"/>
        <w:spacing w:lineRule="auto" w:line="360" w:before="0" w:after="0"/>
        <w:rPr>
          <w:rFonts w:ascii="Tahoma" w:hAnsi="Tahoma" w:cs="Tahoma"/>
          <w:b/>
          <w:b/>
          <w:bCs/>
          <w:color w:val="000000"/>
          <w:spacing w:val="2"/>
          <w:sz w:val="24"/>
          <w:szCs w:val="24"/>
        </w:rPr>
      </w:pPr>
      <w:r>
        <w:rPr>
          <w:rFonts w:cs="Tahoma" w:ascii="Tahoma" w:hAnsi="Tahoma"/>
          <w:b/>
          <w:bCs/>
          <w:color w:val="000000"/>
          <w:spacing w:val="2"/>
          <w:sz w:val="24"/>
          <w:szCs w:val="24"/>
        </w:rPr>
      </w:r>
    </w:p>
    <w:p>
      <w:pPr>
        <w:pStyle w:val="Normal"/>
        <w:spacing w:lineRule="auto" w:line="360" w:before="0" w:after="0"/>
        <w:rPr>
          <w:rFonts w:ascii="Tahoma" w:hAnsi="Tahoma" w:cs="Tahoma"/>
          <w:sz w:val="24"/>
          <w:szCs w:val="24"/>
        </w:rPr>
      </w:pPr>
      <w:r>
        <w:rPr>
          <w:rFonts w:cs="Tahoma" w:ascii="Tahoma" w:hAnsi="Tahoma"/>
          <w:b/>
          <w:bCs/>
          <w:color w:val="000000"/>
          <w:spacing w:val="2"/>
          <w:sz w:val="24"/>
          <w:szCs w:val="24"/>
        </w:rPr>
        <w:t>FULANO DE TAL</w:t>
      </w:r>
      <w:r>
        <w:rPr>
          <w:rFonts w:cs="Tahoma" w:ascii="Tahoma" w:hAnsi="Tahoma"/>
          <w:sz w:val="24"/>
          <w:szCs w:val="24"/>
        </w:rPr>
        <w:t>,</w:t>
      </w:r>
      <w:r>
        <w:rPr>
          <w:rFonts w:cs="Tahoma" w:ascii="Tahoma" w:hAnsi="Tahoma"/>
          <w:b/>
          <w:sz w:val="24"/>
          <w:szCs w:val="24"/>
        </w:rPr>
        <w:t xml:space="preserve"> </w:t>
      </w:r>
      <w:r>
        <w:rPr>
          <w:rFonts w:cs="Tahoma" w:ascii="Tahoma" w:hAnsi="Tahoma"/>
          <w:sz w:val="24"/>
          <w:szCs w:val="24"/>
        </w:rPr>
        <w:t>devidamente qualificado nos autos do processo em epígrafe</w:t>
      </w:r>
      <w:r>
        <w:rPr>
          <w:rFonts w:cs="Tahoma" w:ascii="Tahoma" w:hAnsi="Tahoma"/>
          <w:color w:val="000000"/>
          <w:sz w:val="24"/>
          <w:szCs w:val="24"/>
        </w:rPr>
        <w:t xml:space="preserve">, </w:t>
      </w:r>
      <w:r>
        <w:rPr>
          <w:rFonts w:cs="Tahoma" w:ascii="Tahoma" w:hAnsi="Tahoma"/>
          <w:sz w:val="24"/>
          <w:szCs w:val="24"/>
        </w:rPr>
        <w:t>vem, respeitosamente, perante Vossa Excelência, por seus advogados, apresentar</w:t>
      </w:r>
    </w:p>
    <w:p>
      <w:pPr>
        <w:pStyle w:val="Normal"/>
        <w:spacing w:lineRule="auto" w:line="360" w:before="240" w:after="360"/>
        <w:rPr>
          <w:rFonts w:ascii="Tahoma" w:hAnsi="Tahoma" w:cs="Tahoma"/>
          <w:b/>
          <w:b/>
          <w:bCs/>
          <w:sz w:val="24"/>
          <w:szCs w:val="24"/>
        </w:rPr>
      </w:pPr>
      <w:r>
        <w:rPr>
          <w:rFonts w:cs="Tahoma" w:ascii="Tahoma" w:hAnsi="Tahoma"/>
          <w:b/>
          <w:bCs/>
          <w:sz w:val="24"/>
          <w:szCs w:val="24"/>
        </w:rPr>
      </w:r>
    </w:p>
    <w:p>
      <w:pPr>
        <w:pStyle w:val="Normal"/>
        <w:spacing w:lineRule="auto" w:line="360" w:before="240" w:after="360"/>
        <w:rPr>
          <w:rFonts w:ascii="Tahoma" w:hAnsi="Tahoma" w:cs="Tahoma"/>
          <w:b/>
          <w:b/>
          <w:bCs/>
          <w:sz w:val="24"/>
          <w:szCs w:val="24"/>
        </w:rPr>
      </w:pPr>
      <w:r>
        <w:rPr>
          <w:rFonts w:cs="Tahoma" w:ascii="Tahoma" w:hAnsi="Tahoma"/>
          <w:b/>
          <w:bCs/>
          <w:sz w:val="24"/>
          <w:szCs w:val="24"/>
        </w:rPr>
        <w:t>CONTRARRAZÕES AO RECURSO DE APELAÇÃO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 xml:space="preserve">interposto pelo </w:t>
      </w:r>
      <w:r>
        <w:rPr>
          <w:rFonts w:cs="Tahoma" w:ascii="Tahoma" w:hAnsi="Tahoma"/>
          <w:b/>
          <w:color w:val="000000"/>
          <w:spacing w:val="2"/>
          <w:sz w:val="24"/>
          <w:szCs w:val="24"/>
        </w:rPr>
        <w:t>SICRANO,</w:t>
      </w:r>
      <w:r>
        <w:rPr>
          <w:rFonts w:cs="Tahoma" w:ascii="Tahoma" w:hAnsi="Tahoma"/>
          <w:sz w:val="24"/>
          <w:szCs w:val="24"/>
        </w:rPr>
        <w:t xml:space="preserve"> contra a sentença proferida às fls. 00, através das razões anexas, as quais requer, após processadas, sejam remetidas à apreciação do Tribunal de Justiça de TAL, com as cautelas legais.</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1" w:name="_Hlk19878861"/>
      <w:bookmarkEnd w:id="1"/>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0" w:after="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240" w:before="120" w:after="12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EXCELENTÍSSIMOS(AS) DESEMBARGADORES(AS) DO TRIBUNAL DE JUSTIÇA DE TAL</w:t>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240" w:after="24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EXCELENTÍSSIMO(A) RELATOR(A)</w:t>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CONTRARRAZÕES AO RECURSO DE APELAÇÃO</w:t>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t>RECURSO É GENÉRICO E PADRONIZADO</w:t>
      </w:r>
    </w:p>
    <w:p>
      <w:pPr>
        <w:pStyle w:val="Normal"/>
        <w:spacing w:lineRule="auto" w:line="360" w:before="360" w:after="360"/>
        <w:ind w:right="142" w:hanging="0"/>
        <w:rPr>
          <w:rFonts w:ascii="Tahoma" w:hAnsi="Tahoma" w:cs="Tahoma"/>
          <w:b/>
          <w:b/>
          <w:sz w:val="24"/>
          <w:szCs w:val="24"/>
          <w14:shadow w14:blurRad="50800" w14:dist="38100" w14:dir="2700000" w14:sx="100000" w14:sy="100000" w14:kx="0" w14:ky="0" w14:algn="tl">
            <w14:srgbClr w14:val="000000">
              <w14:alpha w14:val="60000"/>
            </w14:srgbClr>
          </w14:shadow>
        </w:rPr>
      </w:pPr>
      <w:r>
        <w:rPr>
          <w:rFonts w:cs="Tahoma" w:ascii="Tahoma" w:hAnsi="Tahoma"/>
          <w:b/>
          <w:sz w:val="24"/>
          <w:szCs w:val="24"/>
          <w14:shadow w14:blurRad="50800" w14:dist="38100" w14:dir="2700000" w14:sx="100000" w14:sy="100000" w14:kx="0" w14:ky="0" w14:algn="tl">
            <w14:srgbClr w14:val="000000">
              <w14:alpha w14:val="60000"/>
            </w14:srgbClr>
          </w14:shadow>
        </w:rPr>
      </w:r>
    </w:p>
    <w:p>
      <w:pPr>
        <w:pStyle w:val="Normal"/>
        <w:spacing w:lineRule="auto" w:line="360" w:before="360" w:after="240"/>
        <w:rPr>
          <w:rFonts w:ascii="Tahoma" w:hAnsi="Tahoma" w:cs="Tahoma"/>
          <w:sz w:val="24"/>
          <w:szCs w:val="24"/>
        </w:rPr>
      </w:pPr>
      <w:r>
        <w:rPr>
          <w:rFonts w:cs="Tahoma" w:ascii="Tahoma" w:hAnsi="Tahoma"/>
          <w:sz w:val="24"/>
          <w:szCs w:val="24"/>
        </w:rPr>
        <w:t>Com devido acatamento e respeito, cabe salientar inicialmente que o Recurso de Apelação interposto pelo Apelante possui pouca especificidade sobre o contido nos autos, ao imprimir argumentação idêntica em lides distintas cuja matéria envolva incidência de ICMS sobre encargos contidos nas faturas de energia elétrica.</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Todos os argumentos apresentados pelo Apelante nas razões do Recurso já foram levantados quando da contestação do feito e foram devidamente apreciados na sentença de mérito, que os afastou com acerto.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Inicialmente, não merece acolhida a alegação de ilegitimidade ativa ad causam, na medida em que demonstrado à saciedade que o Apelado é contribuinte de fato do tributo, sendo manifesto o seu interesse jurídico no questionamento do valor da exação.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Hugo de Brito Machado, em comentário ao artigo 166 do Código Tributário Nacional, anota que, com amparo no dispositivo, a Administração tem sistematicamente rejeitado pedidos de restituição do indébito nos casos de tributação indireta, seja o pedido formulado pelo contribuinte de fato, seja pelo contribuinte de direito.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Nesse ponto, anota o autor:</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240" w:before="0" w:after="0"/>
        <w:ind w:left="2268" w:hanging="0"/>
        <w:rPr>
          <w:rFonts w:ascii="Tahoma" w:hAnsi="Tahoma" w:cs="Tahoma"/>
          <w:sz w:val="24"/>
          <w:szCs w:val="24"/>
        </w:rPr>
      </w:pPr>
      <w:r>
        <w:rPr>
          <w:rFonts w:cs="Tahoma" w:ascii="Tahoma" w:hAnsi="Tahoma"/>
          <w:sz w:val="24"/>
          <w:szCs w:val="24"/>
        </w:rPr>
        <w:t>O artigo 166 do Código Tributário Nacional tem suscitado constante questionamento. Sempre que alguém pede a restituição de um tributo, a Fazenda Pública o invoca como fundamento de sua recusa. Aliás, a Fazenda Pública sempre se recusa a fazer a restituição de tributos. Quando o pedido de restituição é feito por quem efetuou o pagamento, a Fazenda diz que ocorreu a repercussão e invoca o art. 166 do Código Tributário Nacional para fundamentar sua contestação. E quando o pedido é feito por quem afirma haver suportado o ônus, a Fazenda alega a ilegitimidade processual, em face da inexistência de relação jurídica tributária entre ela e o requerente, que apenas teria pago o preço da mercadoria, ou do serviço (MACHADO, Hugo de Brito. Comentários ao Código Tributário Nacional. São Paulo: Atlas, 2007. v. 3. p. 394).</w:t>
      </w:r>
    </w:p>
    <w:p>
      <w:pPr>
        <w:pStyle w:val="Normal"/>
        <w:spacing w:lineRule="auto" w:line="240" w:before="0" w:after="0"/>
        <w:ind w:left="2268" w:hanging="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Independentemente das críticas que se possam fazer à afirmativa, o fato é que o caso concreto não destoa do padrão de comportamento observado pelo tributarista. O Estado, embora reconheça a qualidade de tributo indireto do ICMS, cujo valor é destacado nas faturas de energia elétrica, sustenta a ilegitimidade ativa do contribuinte de fato.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O argumento é insubsistente. O contribuinte de fato, tendo seu patrimônio subtraído pela tributação excessiva, tem sua esfera patrimonial agredida e, portanto, manifesto interesse jurídico na demanda, ou, na linguagem adotada por Pontes de Miranda e Ovídio Batista, "ação de direito material".</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Pensada a questão em termos práticos, observa-se que ao se acolher a linha de argumentação sugerida pelo recorrente, ter-se-ia por resultado sujeitar o Apelado à boa vontade da Distribuidora de Energia para que esta ajuizasse em seu favor uma ação contra o Estado. Uma tal solução que, ao lado de malferir o acesso à Justiça, seria contrária à disposição dos artigos 3.º e 267, VI, do Novo Código de Processo Civil.</w:t>
      </w:r>
    </w:p>
    <w:p>
      <w:pPr>
        <w:pStyle w:val="Normal"/>
        <w:spacing w:lineRule="auto" w:line="360" w:before="360" w:after="240"/>
        <w:rPr>
          <w:rFonts w:ascii="Tahoma" w:hAnsi="Tahoma" w:cs="Tahoma"/>
          <w:sz w:val="24"/>
          <w:szCs w:val="24"/>
        </w:rPr>
      </w:pPr>
      <w:r>
        <w:rPr>
          <w:rFonts w:cs="Tahoma" w:ascii="Tahoma" w:hAnsi="Tahoma"/>
          <w:sz w:val="24"/>
          <w:szCs w:val="24"/>
        </w:rPr>
        <w:t>No mesmo sentido, colhe-se pronunciamento do Superior Tribunal de Justiça:</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240" w:before="0" w:after="0"/>
        <w:ind w:left="2268" w:hanging="0"/>
        <w:rPr>
          <w:rFonts w:ascii="Tahoma" w:hAnsi="Tahoma" w:cs="Tahoma"/>
          <w:sz w:val="24"/>
          <w:szCs w:val="24"/>
        </w:rPr>
      </w:pPr>
      <w:r>
        <w:rPr>
          <w:rFonts w:cs="Tahoma" w:ascii="Tahoma" w:hAnsi="Tahoma"/>
          <w:sz w:val="24"/>
          <w:szCs w:val="24"/>
        </w:rPr>
        <w:t xml:space="preserve">RECURSO ESPECIAL. REPRESENTATIVO DA CONTROVÉRSIA. ART. 543-C CÓDIGO DE PROCESSO CIVIL.  CONCESSÃO DE SERVIÇO PÚBLICO. ENERGIA ELÉTRICA. INCIDÊNCIA DO ICMS SOBRE A DEMANDA "CONTRATADA E NÃO UTILIZADA". </w:t>
      </w:r>
      <w:r>
        <w:rPr>
          <w:rFonts w:cs="Tahoma" w:ascii="Tahoma" w:hAnsi="Tahoma"/>
          <w:b/>
          <w:sz w:val="24"/>
          <w:szCs w:val="24"/>
        </w:rPr>
        <w:t>LEGITIMIDADE DO CONSUMIDOR PARA PROPOR AÇÃO DECLARATÓRIA C/C REPETIÇÃO DE INDÉBITO.</w:t>
      </w:r>
    </w:p>
    <w:p>
      <w:pPr>
        <w:pStyle w:val="Normal"/>
        <w:spacing w:lineRule="auto" w:line="240" w:before="0" w:after="0"/>
        <w:ind w:left="2268" w:hanging="0"/>
        <w:rPr>
          <w:rFonts w:ascii="Tahoma" w:hAnsi="Tahoma" w:cs="Tahoma"/>
          <w:sz w:val="24"/>
          <w:szCs w:val="24"/>
        </w:rPr>
      </w:pPr>
      <w:r>
        <w:rPr>
          <w:rFonts w:cs="Tahoma" w:ascii="Tahoma" w:hAnsi="Tahoma"/>
          <w:sz w:val="24"/>
          <w:szCs w:val="24"/>
        </w:rPr>
        <w:t xml:space="preserve">- </w:t>
      </w:r>
      <w:r>
        <w:rPr>
          <w:rFonts w:cs="Tahoma" w:ascii="Tahoma" w:hAnsi="Tahoma"/>
          <w:b/>
          <w:sz w:val="24"/>
          <w:szCs w:val="24"/>
        </w:rPr>
        <w:t>Diante do que dispõe a legislação que disciplina as concessões de serviço público e da peculiar relação envolvendo o Estado-concedente, a concessionária e o consumidor, esse último tem legitimidade para propor ação declaratória c/c repetição de indébito na qual se busca afastar, no tocante ao fornecimento de energia elétrica, a incidência do ICMS sobre a demanda contratada e não utilizada</w:t>
      </w:r>
      <w:r>
        <w:rPr>
          <w:rFonts w:cs="Tahoma" w:ascii="Tahoma" w:hAnsi="Tahoma"/>
          <w:sz w:val="24"/>
          <w:szCs w:val="24"/>
        </w:rPr>
        <w:t>.</w:t>
      </w:r>
    </w:p>
    <w:p>
      <w:pPr>
        <w:pStyle w:val="Normal"/>
        <w:spacing w:lineRule="auto" w:line="240" w:before="0" w:after="0"/>
        <w:ind w:left="2268" w:hanging="0"/>
        <w:rPr>
          <w:rFonts w:ascii="Tahoma" w:hAnsi="Tahoma" w:cs="Tahoma"/>
          <w:sz w:val="24"/>
          <w:szCs w:val="24"/>
        </w:rPr>
      </w:pPr>
      <w:r>
        <w:rPr>
          <w:rFonts w:cs="Tahoma" w:ascii="Tahoma" w:hAnsi="Tahoma"/>
          <w:sz w:val="24"/>
          <w:szCs w:val="24"/>
        </w:rPr>
        <w:t>- O acórdão proferido no REsp 903.394/AL (repetitivo), da Primeira Seção, Ministro Luiz Fux, DJe de 26.4.2010, dizendo respeito a distribuidores de bebidas, não se aplica ao casos de fornecimento de energia elétrica.</w:t>
      </w:r>
    </w:p>
    <w:p>
      <w:pPr>
        <w:pStyle w:val="Normal"/>
        <w:spacing w:lineRule="auto" w:line="240" w:before="0" w:after="0"/>
        <w:ind w:left="2268" w:hanging="0"/>
        <w:rPr>
          <w:rFonts w:ascii="Tahoma" w:hAnsi="Tahoma" w:cs="Tahoma"/>
          <w:sz w:val="24"/>
          <w:szCs w:val="24"/>
        </w:rPr>
      </w:pPr>
      <w:r>
        <w:rPr>
          <w:rFonts w:cs="Tahoma" w:ascii="Tahoma" w:hAnsi="Tahoma"/>
          <w:sz w:val="24"/>
          <w:szCs w:val="24"/>
        </w:rPr>
        <w:t>Recurso especial improvido. Acórdão proferido sob o rito do art. 543-C do Código de Processo Civil.</w:t>
      </w:r>
    </w:p>
    <w:p>
      <w:pPr>
        <w:pStyle w:val="Normal"/>
        <w:spacing w:lineRule="auto" w:line="240" w:before="0" w:after="0"/>
        <w:ind w:left="2268" w:hanging="0"/>
        <w:rPr>
          <w:rFonts w:ascii="Tahoma" w:hAnsi="Tahoma" w:cs="Tahoma"/>
          <w:sz w:val="24"/>
          <w:szCs w:val="24"/>
        </w:rPr>
      </w:pPr>
      <w:r>
        <w:rPr>
          <w:rFonts w:cs="Tahoma" w:ascii="Tahoma" w:hAnsi="Tahoma"/>
          <w:sz w:val="24"/>
          <w:szCs w:val="24"/>
        </w:rPr>
        <w:t>(REsp 1299303/SC, Rel. Ministro CESAR ASFOR ROCHA, PRIMEIRA SEÇÃO, julgado em 08/08/2012, DJe 14/08/2012, sem grifo no original)</w:t>
      </w:r>
    </w:p>
    <w:p>
      <w:pPr>
        <w:pStyle w:val="Normal"/>
        <w:spacing w:lineRule="auto" w:line="240" w:before="0" w:after="0"/>
        <w:ind w:left="2268" w:hanging="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Oportuno destacar ainda que esse entendimento, não implica em violação ou afronta aos artigos 155, §2º, inciso XII, a, da Constituição Federal, 121, inciso I e 166, ambos do CTN, 4º da Lei Complementar n.87/96 e 8º da Lei n. 10.297/96, que definem que é o contribuinte, ou sujeito passivo da obrigação tributária.</w:t>
      </w:r>
    </w:p>
    <w:p>
      <w:pPr>
        <w:pStyle w:val="Normal"/>
        <w:spacing w:lineRule="auto" w:line="360" w:before="360" w:after="240"/>
        <w:rPr>
          <w:rFonts w:ascii="Tahoma" w:hAnsi="Tahoma" w:cs="Tahoma"/>
          <w:sz w:val="24"/>
          <w:szCs w:val="24"/>
        </w:rPr>
      </w:pPr>
      <w:r>
        <w:rPr>
          <w:rFonts w:cs="Tahoma" w:ascii="Tahoma" w:hAnsi="Tahoma"/>
          <w:sz w:val="24"/>
          <w:szCs w:val="24"/>
        </w:rPr>
        <w:t>Com efeito, é perfeitamente plausível que o contribuinte de fato busque a confirmação do seu direito para impedir a exigência do pagamento de um tributo indevido, na medida que é ele quem suporta, em ultima ratio, a exação inoportuna. Aliás, o tributo nesse caso é considerado indireto justamente porque, embora recolhido pelo contribuinte de direito, quem arca com o respectivo valor é o contribuinte de fato, ou seja, o Recorrido na espécie.</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No que toca ao mérito, a sentença guerreada equacionou a lide com justiça, razão pela qual merece também ser confirmada nesse ponto.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Não há razão à pretensão recursal que busca a alteração do comando decisório, na medida que, consoante entendimento pacificado no Superior Tribunal de Justiça, exime-se da incidência de ICMS os encargos decorrentes de transmissão e distribuição, devendo ser calculado sobre o valor da energia elétrica efetivamente consumida.</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A bem da verdade, a matéria que desafia a sentença já foi alvo de apreciação pelo Superior Tribunal de Justiça, que decidiu nos seguintes termos:</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rPr>
      </w:pPr>
      <w:r>
        <w:rPr>
          <w:rFonts w:cs="Tahoma" w:ascii="Tahoma" w:hAnsi="Tahoma"/>
          <w:sz w:val="24"/>
          <w:szCs w:val="24"/>
        </w:rPr>
        <w:t xml:space="preserve">(AgRg no AREsp 845.353/SC, Rel. </w:t>
      </w:r>
      <w:r>
        <w:rPr>
          <w:rFonts w:cs="Tahoma" w:ascii="Tahoma" w:hAnsi="Tahoma"/>
          <w:sz w:val="24"/>
          <w:szCs w:val="24"/>
          <w:lang w:val="pt-BR"/>
        </w:rPr>
        <w:t>Ministro HUMBERTO MARTINS, SEGUNDA TURMA, julgado em 05/04/2016, DJe 13/04/2016, sem grifo no original)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b/>
          <w:b/>
          <w:bCs/>
          <w:color w:val="000000"/>
          <w:sz w:val="24"/>
          <w:szCs w:val="24"/>
          <w:lang w:val="pt-BR"/>
        </w:rPr>
      </w:pPr>
      <w:r>
        <w:rPr>
          <w:rFonts w:cs="Tahoma" w:ascii="Tahoma" w:hAnsi="Tahoma"/>
          <w:b/>
          <w:bCs/>
          <w:color w:val="000000"/>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rmal"/>
        <w:spacing w:lineRule="auto" w:line="360" w:before="360" w:after="240"/>
        <w:rPr>
          <w:rFonts w:ascii="Tahoma" w:hAnsi="Tahoma" w:cs="Tahoma"/>
          <w:sz w:val="24"/>
          <w:szCs w:val="24"/>
        </w:rPr>
      </w:pPr>
      <w:r>
        <w:rPr>
          <w:rFonts w:cs="Tahoma" w:ascii="Tahoma" w:hAnsi="Tahoma"/>
          <w:sz w:val="24"/>
          <w:szCs w:val="24"/>
        </w:rPr>
        <w:t>Portanto, na hipótese, não há sequer falar em violação ou afronta ao art, 155, inciso II, da Constituição Federal, tampouco ao art. 2º, §2º, da Lei Complementar n. 87/96. O tema como visto foi examinado em diversos precedentes deste Tribunal e também do Superior Tribunal de Justiça, de sorte que estando sedimentada a matéria de fundo no aresto representativo da controvérsia citado alhures, carecem de razão os argumentos que formam o inconformismo do Apelante, na medida em que contrários ao posicionamento pacificado pela Corte Superior na espécie.</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Nesse diapasão, correta a sentença guerreada que reconheceu que a incidência do ICMS é cabível tão-somente sobre o valor da energia elétrica consumida e vedada a incidência do tributo sobre o TUST, TUSD e demais encargos de transmissão e distribuição.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Por tais singelas razões, deve ser julgado totalmente improcedente o Recurso de Apelação manejado pelo Apelante.</w:t>
      </w:r>
    </w:p>
    <w:p>
      <w:pPr>
        <w:pStyle w:val="Normal"/>
        <w:spacing w:lineRule="auto" w:line="240" w:before="0" w:after="0"/>
        <w:rPr>
          <w:rFonts w:ascii="Tahoma" w:hAnsi="Tahoma" w:cs="Tahoma"/>
          <w:b/>
          <w:b/>
          <w:bCs/>
          <w:sz w:val="24"/>
          <w:szCs w:val="24"/>
        </w:rPr>
      </w:pPr>
      <w:r>
        <w:rPr>
          <w:rFonts w:cs="Tahoma" w:ascii="Tahoma" w:hAnsi="Tahoma"/>
          <w:b/>
          <w:bCs/>
          <w:sz w:val="24"/>
          <w:szCs w:val="24"/>
        </w:rPr>
        <w:t>SUCUMBÊNCIA EM GRAU MÁXIMO</w:t>
      </w:r>
    </w:p>
    <w:p>
      <w:pPr>
        <w:pStyle w:val="Normal"/>
        <w:spacing w:lineRule="auto" w:line="240" w:before="0" w:after="0"/>
        <w:rPr>
          <w:rFonts w:ascii="Tahoma" w:hAnsi="Tahoma" w:cs="Tahoma"/>
          <w:b/>
          <w:b/>
          <w:bCs/>
          <w:sz w:val="24"/>
          <w:szCs w:val="24"/>
        </w:rPr>
      </w:pPr>
      <w:r>
        <w:rPr>
          <w:rFonts w:cs="Tahoma" w:ascii="Tahoma" w:hAnsi="Tahoma"/>
          <w:b/>
          <w:bCs/>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Por efeito da entrada em vigor do Novo Código de Processo Civil, o arbitramento de sucumbência sofreu profunda alteração. Um dos objetivos do legislador foi desmotivar recursos meramente protelatórios, a exemplo do caso presente, através de sanção indireta pelo aumento, em grau de recurso, do percentual de honorários sucumbenciais.</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sz w:val="24"/>
          <w:szCs w:val="24"/>
        </w:rPr>
      </w:pPr>
      <w:r>
        <w:rPr>
          <w:rFonts w:cs="Tahoma" w:ascii="Tahoma" w:hAnsi="Tahoma"/>
          <w:sz w:val="24"/>
          <w:szCs w:val="24"/>
        </w:rPr>
        <w:t>Destarte, em cumprimento ao art. 85, parágrafos primeiro e segundo do NCPC, deve o Apelante ser condenado ao pagamento de honorários de sucumbência no importe de 20% do valor da condenação.</w:t>
      </w:r>
    </w:p>
    <w:p>
      <w:pPr>
        <w:pStyle w:val="Normal"/>
        <w:spacing w:lineRule="auto" w:line="360" w:before="360" w:after="240"/>
        <w:rPr>
          <w:rFonts w:ascii="Tahoma" w:hAnsi="Tahoma" w:cs="Tahoma"/>
          <w:sz w:val="24"/>
          <w:szCs w:val="24"/>
        </w:rPr>
      </w:pPr>
      <w:r>
        <w:rPr>
          <w:rFonts w:cs="Tahoma" w:ascii="Tahoma" w:hAnsi="Tahoma"/>
          <w:sz w:val="24"/>
          <w:szCs w:val="24"/>
        </w:rPr>
      </w:r>
    </w:p>
    <w:p>
      <w:pPr>
        <w:pStyle w:val="Normal"/>
        <w:spacing w:lineRule="auto" w:line="360" w:before="360" w:after="240"/>
        <w:rPr>
          <w:rFonts w:ascii="Tahoma" w:hAnsi="Tahoma" w:cs="Tahoma"/>
          <w:b/>
          <w:b/>
          <w:sz w:val="24"/>
          <w:szCs w:val="24"/>
        </w:rPr>
      </w:pPr>
      <w:r>
        <w:rPr>
          <w:rFonts w:cs="Tahoma" w:ascii="Tahoma" w:hAnsi="Tahoma"/>
          <w:b/>
          <w:sz w:val="24"/>
          <w:szCs w:val="24"/>
        </w:rPr>
        <w:t>DOS REQUERIMENTOS</w:t>
      </w:r>
    </w:p>
    <w:p>
      <w:pPr>
        <w:pStyle w:val="Normal"/>
        <w:spacing w:lineRule="auto" w:line="360" w:before="360" w:after="240"/>
        <w:rPr>
          <w:rFonts w:ascii="Tahoma" w:hAnsi="Tahoma" w:cs="Tahoma"/>
          <w:b/>
          <w:b/>
          <w:sz w:val="24"/>
          <w:szCs w:val="24"/>
        </w:rPr>
      </w:pPr>
      <w:r>
        <w:rPr>
          <w:rFonts w:cs="Tahoma" w:ascii="Tahoma" w:hAnsi="Tahoma"/>
          <w:b/>
          <w:sz w:val="24"/>
          <w:szCs w:val="24"/>
        </w:rPr>
      </w:r>
    </w:p>
    <w:p>
      <w:pPr>
        <w:pStyle w:val="WWSemEspaamento1"/>
        <w:spacing w:lineRule="auto" w:line="360" w:before="360" w:after="240"/>
        <w:rPr>
          <w:rFonts w:ascii="Tahoma" w:hAnsi="Tahoma" w:cs="Tahoma"/>
          <w:sz w:val="24"/>
          <w:szCs w:val="24"/>
          <w:lang w:val="pt-BR"/>
        </w:rPr>
      </w:pPr>
      <w:r>
        <w:rPr>
          <w:rFonts w:cs="Tahoma" w:ascii="Tahoma" w:hAnsi="Tahoma"/>
          <w:sz w:val="24"/>
          <w:szCs w:val="24"/>
          <w:lang w:val="pt-BR"/>
        </w:rPr>
        <w:t>Ante o exposto, o Apelado requer de Vossas Excelências o desprovimento do Recurso interposto, ante as razões insertas na inicial, na manifestação à contestação, na sentença e nestas contrarrazões.</w:t>
      </w:r>
    </w:p>
    <w:p>
      <w:pPr>
        <w:pStyle w:val="WWSemEspaamento1"/>
        <w:spacing w:lineRule="auto" w:line="360" w:before="360" w:after="240"/>
        <w:rPr>
          <w:rFonts w:ascii="Tahoma" w:hAnsi="Tahoma" w:cs="Tahoma"/>
          <w:sz w:val="24"/>
          <w:szCs w:val="24"/>
          <w:lang w:val="pt-BR"/>
        </w:rPr>
      </w:pPr>
      <w:r>
        <w:rPr>
          <w:rFonts w:cs="Tahoma" w:ascii="Tahoma" w:hAnsi="Tahoma"/>
          <w:sz w:val="24"/>
          <w:szCs w:val="24"/>
          <w:lang w:val="pt-BR"/>
        </w:rPr>
        <w:t>Requer, ainda, a condenação do Apelante nos honorários de sucumbência em seu patamar máximo, tendo por consideração o grau de recurso.</w:t>
      </w:r>
    </w:p>
    <w:p>
      <w:pPr>
        <w:pStyle w:val="NormalWeb"/>
        <w:shd w:val="clear" w:color="auto" w:fill="FFFFFF"/>
        <w:spacing w:lineRule="atLeast" w:line="390" w:before="240" w:after="300"/>
        <w:rPr>
          <w:rFonts w:ascii="Tahoma" w:hAnsi="Tahoma" w:cs="Tahoma"/>
          <w:spacing w:val="2"/>
        </w:rPr>
      </w:pPr>
      <w:bookmarkStart w:id="2" w:name="_GoBack"/>
      <w:bookmarkEnd w:id="2"/>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240" w:after="300"/>
        <w:rPr>
          <w:rFonts w:ascii="Tahoma" w:hAnsi="Tahoma" w:cs="Tahoma"/>
        </w:rPr>
      </w:pPr>
      <w:r>
        <w:rPr/>
      </w:r>
    </w:p>
    <w:sectPr>
      <w:headerReference w:type="default" r:id="rId2"/>
      <w:footerReference w:type="default" r:id="rId3"/>
      <w:type w:val="nextPage"/>
      <w:pgSz w:w="11906" w:h="16838"/>
      <w:pgMar w:left="1701" w:right="1134" w:header="709" w:top="1701"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color w:val="2A64A6"/>
        <w:sz w:val="18"/>
        <w:szCs w:val="18"/>
      </w:rPr>
    </w:pPr>
    <w:r>
      <w:rPr>
        <w:color w:val="2A64A6"/>
        <w:sz w:val="18"/>
        <w:szCs w:val="18"/>
      </w:rPr>
      <mc:AlternateContent>
        <mc:Choice Requires="wps">
          <w:drawing>
            <wp:anchor behindDoc="1" distT="0" distB="0" distL="0" distR="0" simplePos="0" locked="0" layoutInCell="1" allowOverlap="1" relativeHeight="13" wp14:anchorId="27860BAD">
              <wp:simplePos x="0" y="0"/>
              <wp:positionH relativeFrom="page">
                <wp:posOffset>6772275</wp:posOffset>
              </wp:positionH>
              <wp:positionV relativeFrom="paragraph">
                <wp:posOffset>137160</wp:posOffset>
              </wp:positionV>
              <wp:extent cx="66040" cy="156210"/>
              <wp:effectExtent l="0" t="0" r="0" b="0"/>
              <wp:wrapSquare wrapText="largest"/>
              <wp:docPr id="1" name="Quadro1"/>
              <a:graphic xmlns:a="http://schemas.openxmlformats.org/drawingml/2006/main">
                <a:graphicData uri="http://schemas.microsoft.com/office/word/2010/wordprocessingShape">
                  <wps:wsp>
                    <wps:cNvSpPr/>
                    <wps:spPr>
                      <a:xfrm>
                        <a:off x="0" y="0"/>
                        <a:ext cx="65520" cy="155520"/>
                      </a:xfrm>
                      <a:prstGeom prst="rect">
                        <a:avLst/>
                      </a:prstGeom>
                      <a:noFill/>
                      <a:ln>
                        <a:noFill/>
                      </a:ln>
                    </wps:spPr>
                    <wps:style>
                      <a:lnRef idx="0"/>
                      <a:fillRef idx="0"/>
                      <a:effectRef idx="0"/>
                      <a:fontRef idx="minor"/>
                    </wps:style>
                    <wps:txbx>
                      <w:txbxContent>
                        <w:p>
                          <w:pPr>
                            <w:pStyle w:val="Rodap"/>
                            <w:rPr/>
                          </w:pPr>
                          <w:r>
                            <w:rPr>
                              <w:rStyle w:val="Pagenumber"/>
                              <w:color w:val="000000"/>
                              <w:sz w:val="20"/>
                              <w:szCs w:val="20"/>
                            </w:rPr>
                            <w:fldChar w:fldCharType="begin"/>
                          </w:r>
                          <w:r>
                            <w:rPr>
                              <w:rStyle w:val="Pagenumber"/>
                              <w:sz w:val="20"/>
                              <w:szCs w:val="20"/>
                              <w:color w:val="000000"/>
                            </w:rPr>
                            <w:instrText> PAGE </w:instrText>
                          </w:r>
                          <w:r>
                            <w:rPr>
                              <w:rStyle w:val="Pagenumber"/>
                              <w:sz w:val="20"/>
                              <w:szCs w:val="20"/>
                              <w:color w:val="000000"/>
                            </w:rPr>
                            <w:fldChar w:fldCharType="separate"/>
                          </w:r>
                          <w:r>
                            <w:rPr>
                              <w:rStyle w:val="Pagenumber"/>
                              <w:sz w:val="20"/>
                              <w:szCs w:val="20"/>
                              <w:color w:val="000000"/>
                            </w:rPr>
                            <w:t>12</w:t>
                          </w:r>
                          <w:r>
                            <w:rPr>
                              <w:rStyle w:val="Pagenumber"/>
                              <w:sz w:val="20"/>
                              <w:szCs w:val="20"/>
                              <w:color w:val="000000"/>
                            </w:rPr>
                            <w:fldChar w:fldCharType="end"/>
                          </w:r>
                        </w:p>
                      </w:txbxContent>
                    </wps:txbx>
                    <wps:bodyPr lIns="0" rIns="0" tIns="0" bIns="0">
                      <a:noAutofit/>
                    </wps:bodyPr>
                  </wps:wsp>
                </a:graphicData>
              </a:graphic>
            </wp:anchor>
          </w:drawing>
        </mc:Choice>
        <mc:Fallback>
          <w:pict>
            <v:rect id="shape_0" ID="Quadro1" stroked="f" style="position:absolute;margin-left:533.25pt;margin-top:10.8pt;width:5.1pt;height:12.2pt;mso-position-horizontal-relative:page" wp14:anchorId="27860BAD">
              <w10:wrap type="square"/>
              <v:fill o:detectmouseclick="t" on="false"/>
              <v:stroke color="#3465a4" joinstyle="round" endcap="flat"/>
              <v:textbox>
                <w:txbxContent>
                  <w:p>
                    <w:pPr>
                      <w:pStyle w:val="Rodap"/>
                      <w:rPr/>
                    </w:pPr>
                    <w:r>
                      <w:rPr>
                        <w:rStyle w:val="Pagenumber"/>
                        <w:color w:val="000000"/>
                        <w:sz w:val="20"/>
                        <w:szCs w:val="20"/>
                      </w:rPr>
                      <w:fldChar w:fldCharType="begin"/>
                    </w:r>
                    <w:r>
                      <w:rPr>
                        <w:rStyle w:val="Pagenumber"/>
                        <w:sz w:val="20"/>
                        <w:szCs w:val="20"/>
                        <w:color w:val="000000"/>
                      </w:rPr>
                      <w:instrText> PAGE </w:instrText>
                    </w:r>
                    <w:r>
                      <w:rPr>
                        <w:rStyle w:val="Pagenumber"/>
                        <w:sz w:val="20"/>
                        <w:szCs w:val="20"/>
                        <w:color w:val="000000"/>
                      </w:rPr>
                      <w:fldChar w:fldCharType="separate"/>
                    </w:r>
                    <w:r>
                      <w:rPr>
                        <w:rStyle w:val="Pagenumber"/>
                        <w:sz w:val="20"/>
                        <w:szCs w:val="20"/>
                        <w:color w:val="000000"/>
                      </w:rPr>
                      <w:t>12</w:t>
                    </w:r>
                    <w:r>
                      <w:rPr>
                        <w:rStyle w:val="Pagenumber"/>
                        <w:sz w:val="20"/>
                        <w:szCs w:val="20"/>
                        <w:color w:val="000000"/>
                      </w:rPr>
                      <w:fldChar w:fldCharType="end"/>
                    </w:r>
                  </w:p>
                </w:txbxContent>
              </v:textbox>
            </v:rect>
          </w:pict>
        </mc:Fallback>
      </mc:AlternateContent>
    </w:r>
  </w:p>
  <w:p>
    <w:pPr>
      <w:pStyle w:val="Rodap"/>
      <w:rPr/>
    </w:pPr>
    <w:r>
      <w:rPr/>
    </w:r>
    <w:bookmarkStart w:id="5" w:name="_Hlk18660203"/>
    <w:bookmarkStart w:id="6" w:name="_Hlk18660203"/>
    <w:bookmarkEnd w:id="6"/>
  </w:p>
  <w:p>
    <w:pPr>
      <w:pStyle w:val="NormalWeb"/>
      <w:spacing w:before="0" w:after="0"/>
      <w:jc w:val="center"/>
      <w:rPr>
        <w:color w:val="2A64A6"/>
        <w:sz w:val="18"/>
        <w:szCs w:val="18"/>
        <w:lang w:val="pt-BR"/>
      </w:rPr>
    </w:pPr>
    <w:r>
      <w:rPr>
        <w:color w:val="2A64A6"/>
        <w:sz w:val="18"/>
        <w:szCs w:val="18"/>
        <w:lang w:val="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3" w:name="_Hlk19040810"/>
    <w:bookmarkStart w:id="4" w:name="_Hlk19040810"/>
    <w:bookmarkEnd w:id="4"/>
  </w:p>
  <w:p>
    <w:pPr>
      <w:pStyle w:val="Normal"/>
      <w:widowControl/>
      <w:overflowPunct w:val="true"/>
      <w:bidi w:val="0"/>
      <w:spacing w:lineRule="auto" w:line="276" w:before="0" w:after="200"/>
      <w:jc w:val="left"/>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lineRule="auto" w:line="276" w:before="0" w:after="200"/>
      <w:jc w:val="left"/>
    </w:pPr>
    <w:rPr>
      <w:rFonts w:ascii="Calibri" w:hAnsi="Calibri" w:eastAsia="Calibri" w:cs="Times New Roman"/>
      <w:color w:val="auto"/>
      <w:kern w:val="2"/>
      <w:sz w:val="22"/>
      <w:szCs w:val="22"/>
      <w:lang w:bidi="ar-SA" w:val="pt-BR" w:eastAsia="zh-CN"/>
    </w:rPr>
  </w:style>
  <w:style w:type="paragraph" w:styleId="Ttulo3">
    <w:name w:val="Heading 3"/>
    <w:basedOn w:val="Normal"/>
    <w:next w:val="Normal"/>
    <w:uiPriority w:val="9"/>
    <w:semiHidden/>
    <w:unhideWhenUsed/>
    <w:qFormat/>
    <w:pPr>
      <w:keepNext w:val="true"/>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5z0" w:customStyle="1">
    <w:name w:val="WW8Num5z0"/>
    <w:qFormat/>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BalloonTextChar" w:customStyle="1">
    <w:name w:val="Balloon Text Char"/>
    <w:qFormat/>
    <w:rPr>
      <w:rFonts w:ascii="Tahoma" w:hAnsi="Tahoma" w:cs="Tahoma"/>
      <w:sz w:val="16"/>
      <w:szCs w:val="16"/>
    </w:rPr>
  </w:style>
  <w:style w:type="character" w:styleId="Pagenumber">
    <w:name w:val="page number"/>
    <w:basedOn w:val="DefaultParagraphFont"/>
    <w:qFormat/>
    <w:rPr/>
  </w:style>
  <w:style w:type="character" w:styleId="Caracteresdenotaderodap" w:customStyle="1">
    <w:name w:val="Caracteres de nota de rodapé"/>
    <w:qFormat/>
    <w:rPr>
      <w:rFonts w:cs="Times New Roman"/>
      <w:vertAlign w:val="superscript"/>
    </w:rPr>
  </w:style>
  <w:style w:type="character" w:styleId="FootnoteTextChar" w:customStyle="1">
    <w:name w:val="Footnote Text Char"/>
    <w:qFormat/>
    <w:rPr>
      <w:rFonts w:ascii="Times New Roman" w:hAnsi="Times New Roman" w:cs="Times New Roman"/>
    </w:rPr>
  </w:style>
  <w:style w:type="character" w:styleId="Hl" w:customStyle="1">
    <w:name w:val="hl"/>
    <w:basedOn w:val="DefaultParagraphFont"/>
    <w:qFormat/>
    <w:rPr/>
  </w:style>
  <w:style w:type="character" w:styleId="Nfaseforte" w:customStyle="1">
    <w:name w:val="Ênfase forte"/>
    <w:qFormat/>
    <w:rPr>
      <w:b/>
      <w:bCs/>
    </w:rPr>
  </w:style>
  <w:style w:type="character" w:styleId="BodyTextIndentChar" w:customStyle="1">
    <w:name w:val="Body Text Indent Char"/>
    <w:qFormat/>
    <w:rPr>
      <w:rFonts w:ascii="Times New Roman" w:hAnsi="Times New Roman" w:eastAsia="Times New Roman" w:cs="Times New Roman"/>
      <w:sz w:val="24"/>
      <w:szCs w:val="24"/>
      <w:lang w:val="en-US"/>
    </w:rPr>
  </w:style>
  <w:style w:type="character" w:styleId="LinkdaInternet" w:customStyle="1">
    <w:name w:val="Link da Internet"/>
    <w:rPr>
      <w:color w:val="0000FF"/>
      <w:u w:val="single"/>
    </w:rPr>
  </w:style>
  <w:style w:type="character" w:styleId="PargrafoNormalChar" w:customStyle="1">
    <w:name w:val="Parágrafo Normal Char"/>
    <w:qFormat/>
    <w:rPr>
      <w:rFonts w:ascii="Arial" w:hAnsi="Arial" w:eastAsia="Times New Roman" w:cs="Arial"/>
      <w:sz w:val="24"/>
      <w:szCs w:val="24"/>
    </w:rPr>
  </w:style>
  <w:style w:type="character" w:styleId="BodyTextChar" w:customStyle="1">
    <w:name w:val="Body Text Char"/>
    <w:qFormat/>
    <w:rPr>
      <w:sz w:val="22"/>
      <w:szCs w:val="22"/>
    </w:rPr>
  </w:style>
  <w:style w:type="character" w:styleId="Ncoradanotaderodap" w:customStyle="1">
    <w:name w:val="Âncora da nota de rodapé"/>
    <w:rPr>
      <w:vertAlign w:val="superscript"/>
    </w:rPr>
  </w:style>
  <w:style w:type="character" w:styleId="Marcas1" w:customStyle="1">
    <w:name w:val="marcas1"/>
    <w:qFormat/>
    <w:rPr>
      <w:b/>
      <w:bCs/>
      <w:color w:val="FF0000"/>
    </w:rPr>
  </w:style>
  <w:style w:type="character" w:styleId="Highlightbrs" w:customStyle="1">
    <w:name w:val="highlightbrs"/>
    <w:basedOn w:val="DefaultParagraphFont"/>
    <w:qFormat/>
    <w:rPr/>
  </w:style>
  <w:style w:type="character" w:styleId="PrformataoHTMLChar" w:customStyle="1">
    <w:name w:val="Pré-formatação HTML Char"/>
    <w:qFormat/>
    <w:rPr>
      <w:rFonts w:ascii="Courier New" w:hAnsi="Courier New" w:cs="Courier New"/>
      <w:sz w:val="20"/>
      <w:szCs w:val="20"/>
    </w:rPr>
  </w:style>
  <w:style w:type="character" w:styleId="Nfase">
    <w:name w:val="Ênfase"/>
    <w:qFormat/>
    <w:rPr>
      <w:rFonts w:cs="Times New Roman"/>
      <w:i/>
      <w:iCs/>
    </w:rPr>
  </w:style>
  <w:style w:type="character" w:styleId="Appleconvertedspace" w:customStyle="1">
    <w:name w:val="apple-converted-space"/>
    <w:qFormat/>
    <w:rPr>
      <w:rFonts w:cs="Times New Roman"/>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Applestylespan" w:customStyle="1">
    <w:name w:val="apple-style-span"/>
    <w:qFormat/>
    <w:rPr>
      <w:rFonts w:cs="Times New Roman"/>
    </w:rPr>
  </w:style>
  <w:style w:type="character" w:styleId="TextodebaloChar" w:customStyle="1">
    <w:name w:val="Texto de balão Char"/>
    <w:qFormat/>
    <w:rPr>
      <w:rFonts w:ascii="Tahoma" w:hAnsi="Tahoma" w:cs="Tahoma"/>
      <w:sz w:val="16"/>
      <w:szCs w:val="16"/>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CabealhoChar" w:customStyle="1">
    <w:name w:val="Cabeçalho Char"/>
    <w:qFormat/>
    <w:rPr>
      <w:rFonts w:ascii="Times New Roman" w:hAnsi="Times New Roman" w:cs="Times New Roman"/>
      <w:sz w:val="24"/>
      <w:szCs w:val="24"/>
      <w:lang w:val="pt-BR"/>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Calibri" w:hAnsi="Calibri" w:eastAsia="Calibri" w:cs="Times New Roman"/>
    </w:rPr>
  </w:style>
  <w:style w:type="character" w:styleId="WW8Num11z0" w:customStyle="1">
    <w:name w:val="WW8Num11z0"/>
    <w:qFormat/>
    <w:rPr>
      <w:rFonts w:cs="Times New Roman"/>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1" w:customStyle="1">
    <w:name w:val="WW8Num5z1"/>
    <w:qFormat/>
    <w:rPr>
      <w:rFonts w:cs="Times New Roman"/>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CabealhoeRodap">
    <w:name w:val="Cabeçalho e Rodapé"/>
    <w:basedOn w:val="Normal"/>
    <w:qFormat/>
    <w:pPr/>
    <w:rPr/>
  </w:style>
  <w:style w:type="paragraph" w:styleId="Cabealho">
    <w:name w:val="Header"/>
    <w:basedOn w:val="Normal"/>
    <w:pPr>
      <w:spacing w:lineRule="auto" w:line="240" w:before="0" w:after="0"/>
    </w:pPr>
    <w:rPr/>
  </w:style>
  <w:style w:type="paragraph" w:styleId="Rodap">
    <w:name w:val="Footer"/>
    <w:basedOn w:val="Normal"/>
    <w:uiPriority w:val="99"/>
    <w:pPr>
      <w:spacing w:lineRule="auto" w:line="240" w:before="0" w:after="0"/>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lineRule="auto" w:line="240" w:before="280" w:after="280"/>
    </w:pPr>
    <w:rPr>
      <w:rFonts w:ascii="Times New Roman" w:hAnsi="Times New Roman"/>
      <w:sz w:val="24"/>
      <w:szCs w:val="24"/>
      <w:lang w:val="en-US"/>
    </w:rPr>
  </w:style>
  <w:style w:type="paragraph" w:styleId="SemEspaamento1" w:customStyle="1">
    <w:name w:val="Sem Espaçamento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Notaderodap">
    <w:name w:val="Footnote Text"/>
    <w:basedOn w:val="Normal"/>
    <w:pPr>
      <w:spacing w:lineRule="auto" w:line="240" w:before="0" w:after="0"/>
    </w:pPr>
    <w:rPr>
      <w:rFonts w:ascii="Times New Roman" w:hAnsi="Times New Roman"/>
      <w:sz w:val="20"/>
      <w:szCs w:val="20"/>
    </w:rPr>
  </w:style>
  <w:style w:type="paragraph" w:styleId="Tj" w:customStyle="1">
    <w:name w:val="tj"/>
    <w:basedOn w:val="Normal"/>
    <w:qFormat/>
    <w:pPr>
      <w:spacing w:lineRule="auto" w:line="240" w:before="280" w:after="280"/>
    </w:pPr>
    <w:rPr>
      <w:rFonts w:ascii="Times New Roman" w:hAnsi="Times New Roman" w:eastAsia="Times New Roman"/>
      <w:sz w:val="24"/>
      <w:szCs w:val="24"/>
    </w:rPr>
  </w:style>
  <w:style w:type="paragraph" w:styleId="WWSemEspaamento1" w:customStyle="1">
    <w:name w:val="WW-Sem Espaçamento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NoSpacing1" w:customStyle="1">
    <w:name w:val="No Spacing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ListParagraph">
    <w:name w:val="List Paragraph"/>
    <w:basedOn w:val="Normal"/>
    <w:qFormat/>
    <w:pPr>
      <w:spacing w:before="0" w:after="0"/>
      <w:ind w:left="720" w:hanging="0"/>
      <w:contextualSpacing/>
    </w:pPr>
    <w:rPr>
      <w:rFonts w:eastAsia="Times New Roman"/>
    </w:rPr>
  </w:style>
  <w:style w:type="paragraph" w:styleId="Corpodotextorecuado">
    <w:name w:val="Body Text Indent"/>
    <w:basedOn w:val="Normal"/>
    <w:pPr>
      <w:spacing w:lineRule="auto" w:line="240" w:before="0" w:after="120"/>
      <w:ind w:left="283" w:hanging="0"/>
    </w:pPr>
    <w:rPr>
      <w:rFonts w:ascii="Times New Roman" w:hAnsi="Times New Roman" w:eastAsia="Times New Roman"/>
      <w:sz w:val="24"/>
      <w:szCs w:val="24"/>
      <w:lang w:val="en-US"/>
    </w:rPr>
  </w:style>
  <w:style w:type="paragraph" w:styleId="Destaque1" w:customStyle="1">
    <w:name w:val="Destaque1"/>
    <w:qFormat/>
    <w:pPr>
      <w:widowControl w:val="false"/>
      <w:overflowPunct w:val="true"/>
      <w:bidi w:val="0"/>
      <w:spacing w:before="0" w:after="0"/>
      <w:ind w:left="850" w:firstLine="567"/>
      <w:jc w:val="both"/>
    </w:pPr>
    <w:rPr>
      <w:rFonts w:ascii="Arial" w:hAnsi="Arial" w:eastAsia="Times New Roman" w:cs="Arial"/>
      <w:color w:val="auto"/>
      <w:kern w:val="2"/>
      <w:sz w:val="22"/>
      <w:szCs w:val="22"/>
      <w:lang w:bidi="ar-SA" w:val="pt-BR" w:eastAsia="zh-CN"/>
    </w:rPr>
  </w:style>
  <w:style w:type="paragraph" w:styleId="Texto" w:customStyle="1">
    <w:name w:val="Texto"/>
    <w:basedOn w:val="Caption"/>
    <w:qFormat/>
    <w:pPr>
      <w:widowControl w:val="false"/>
      <w:spacing w:lineRule="auto" w:line="360"/>
      <w:ind w:firstLine="1417"/>
      <w:jc w:val="both"/>
    </w:pPr>
    <w:rPr>
      <w:rFonts w:ascii="Arial" w:hAnsi="Arial" w:eastAsia="Times New Roman" w:cs="Arial"/>
    </w:rPr>
  </w:style>
  <w:style w:type="paragraph" w:styleId="PargrafoNormal" w:customStyle="1">
    <w:name w:val="Parágrafo Normal"/>
    <w:basedOn w:val="Normal"/>
    <w:qFormat/>
    <w:pPr>
      <w:spacing w:lineRule="auto" w:line="360" w:before="0" w:after="60"/>
      <w:ind w:firstLine="1418"/>
      <w:jc w:val="both"/>
    </w:pPr>
    <w:rPr>
      <w:rFonts w:ascii="Arial" w:hAnsi="Arial" w:eastAsia="Times New Roman" w:cs="Arial"/>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paragraph" w:styleId="Texto1" w:customStyle="1">
    <w:name w:val="texto1"/>
    <w:basedOn w:val="Normal"/>
    <w:qFormat/>
    <w:pPr>
      <w:spacing w:before="280" w:after="280"/>
    </w:pPr>
    <w:rPr>
      <w:rFonts w:eastAsia="Times New Roman"/>
    </w:rPr>
  </w:style>
  <w:style w:type="paragraph" w:styleId="EMENTA" w:customStyle="1">
    <w:name w:val="EMENTA"/>
    <w:basedOn w:val="Normal"/>
    <w:qFormat/>
    <w:pPr>
      <w:jc w:val="both"/>
    </w:pPr>
    <w:rPr>
      <w:rFonts w:eastAsia="Times New Roman"/>
    </w:rPr>
  </w:style>
  <w:style w:type="paragraph" w:styleId="NoSpacing">
    <w:name w:val="No Spacing"/>
    <w:qFormat/>
    <w:pPr>
      <w:widowControl/>
      <w:overflowPunct w:val="true"/>
      <w:bidi w:val="0"/>
      <w:spacing w:before="0" w:after="0"/>
      <w:jc w:val="left"/>
    </w:pPr>
    <w:rPr>
      <w:rFonts w:ascii="Calibri" w:hAnsi="Calibri" w:eastAsia="Calibri" w:cs="Times New Roman"/>
      <w:color w:val="auto"/>
      <w:kern w:val="2"/>
      <w:sz w:val="22"/>
      <w:szCs w:val="22"/>
      <w:lang w:bidi="ar-SA" w:val="pt-BR" w:eastAsia="zh-CN"/>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2">
    <w:name w:val="Body Text 2"/>
    <w:basedOn w:val="Normal"/>
    <w:qFormat/>
    <w:pPr>
      <w:jc w:val="both"/>
    </w:pPr>
    <w:rPr>
      <w:rFonts w:eastAsia="Times New Roman"/>
      <w:b/>
      <w:sz w:val="32"/>
      <w:szCs w:val="20"/>
    </w:rPr>
  </w:style>
  <w:style w:type="paragraph" w:styleId="HTMLPreformatted">
    <w:name w:val="HTML Preformatted"/>
    <w:basedOn w:val="Normal"/>
    <w:qFormat/>
    <w:pPr/>
    <w:rPr>
      <w:rFonts w:ascii="Courier New" w:hAnsi="Courier New" w:cs="Courier New"/>
      <w:sz w:val="20"/>
      <w:szCs w:val="20"/>
    </w:rPr>
  </w:style>
  <w:style w:type="paragraph" w:styleId="ListParagraph1" w:customStyle="1">
    <w:name w:val="List Paragraph1"/>
    <w:basedOn w:val="Normal"/>
    <w:qFormat/>
    <w:pPr>
      <w:spacing w:before="0" w:after="0"/>
      <w:ind w:left="720" w:hanging="0"/>
      <w:contextualSpacing/>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Application>LibreOffice/6.4.2.2$Windows_X86_64 LibreOffice_project/4e471d8c02c9c90f512f7f9ead8875b57fcb1ec3</Application>
  <Pages>12</Pages>
  <Words>2011</Words>
  <Characters>10992</Characters>
  <CharactersWithSpaces>12946</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2015-04-03T22:15:00Z</dcterms:created>
  <dc:creator>BBR</dc:creator>
  <dc:description/>
  <dc:language>pt-BR</dc:language>
  <cp:lastModifiedBy/>
  <cp:lastPrinted>2012-03-13T20:50:00Z</cp:lastPrinted>
  <dcterms:modified xsi:type="dcterms:W3CDTF">2020-04-15T14:50:57Z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