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AO MM. JUÍZO DE DIREITO DA 00ª VARA CÍVEL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0626"/>
      <w:bookmarkEnd w:id="2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bookmarkStart w:id="4" w:name="_GoBack"/>
      <w:bookmarkEnd w:id="4"/>
      <w:r>
        <w:rPr>
          <w:rStyle w:val="Normaltextrun"/>
          <w:rFonts w:cs="Tahoma" w:ascii="Tahoma" w:hAnsi="Tahoma"/>
          <w:b/>
          <w:bCs/>
        </w:rPr>
        <w:t>AÇÃO MONITÓRIA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GoBack"/>
      <w:bookmarkStart w:id="6" w:name="_GoBack"/>
      <w:bookmarkEnd w:id="6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4621"/>
      <w:bookmarkStart w:id="8" w:name="_Hlk482884621"/>
      <w:bookmarkEnd w:id="8"/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FATOS</w:t>
      </w:r>
      <w:r>
        <w:rPr>
          <w:rStyle w:val="Normaltextrun"/>
          <w:rFonts w:cs="Tahoma" w:ascii="Tahoma" w:hAnsi="Tahoma"/>
        </w:rPr>
        <w:t> 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O Autor é proprietário da empresa denominada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Galeto TAL, localizada na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Av. TAL,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que realiza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serviços na área alimentar.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Ocorre que,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 empresa mencionada recebeu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00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(NÚMERO) cheques (cópias em anexos), pré-datados,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que soma a quantia de R$</w:t>
      </w:r>
      <w:r>
        <w:rPr>
          <w:rStyle w:val="Appleconvertedspace"/>
          <w:rFonts w:cs="Tahoma" w:ascii="Tahoma" w:hAnsi="Tahoma"/>
        </w:rPr>
        <w:t> 000 (REAIS)</w:t>
      </w:r>
      <w:r>
        <w:rPr>
          <w:rStyle w:val="Normaltextrun"/>
          <w:rFonts w:cs="Tahoma" w:ascii="Tahoma" w:hAnsi="Tahoma"/>
        </w:rPr>
        <w:t>. Esse cheque, porém, não pode ter sido compensado, haja vista que não possuí provisão de fundos suficientes para quitar o débito.   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Hoje, a dívida corrigida monetariamente (docs.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anexos),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corresponde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ao valor de R$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0000 (REAIS).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Apesar de todo o transtorno acarretado pelo fato de que os cheques não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terem sidos trocados, o Autor procurou o Réu várias vezes a fim de resolver amigavelmente a questão, respeitando, inclusive, as promessas de pagamento feitas por parte deste.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Ocorreu que, neste ínterim, em decorrência do acúmulo de serviços e mesmo pelo precário conhecimento dos ditames da Lei Comercial por parte do autor, o mesmo perdeu o prazo regular para executar os cheques em ação própria na justiça, pensando ele, inclusive, que os mesmos já sequer poderiam ser compensados. Fato esse inverídico, já que a Lei ainda o ocorre, como veremos adiante.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Desta forma, restou ao Autor a via Judicial como remédio para ver o seu direito materializado, já que para os prestadores de serviço nada pode ser mais prejudicial à saúde financeira da empresa e, porque não dizer, saúde física e mental dos próprios empreendedores, prestar tais serviços, demandando horas de trabalho, sem receber o justo valor pela sua empreitada, comprometendo a sua sobrevivência e de seu empreendimento.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 DIREITO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Aduz o</w:t>
      </w:r>
      <w:r>
        <w:rPr>
          <w:rStyle w:val="Appleconvertedspace"/>
          <w:rFonts w:cs="Tahoma" w:ascii="Tahoma" w:hAnsi="Tahoma"/>
          <w:b/>
          <w:bCs/>
        </w:rPr>
        <w:t> </w:t>
      </w:r>
      <w:r>
        <w:rPr>
          <w:rStyle w:val="Normaltextrun"/>
          <w:rFonts w:cs="Tahoma" w:ascii="Tahoma" w:hAnsi="Tahoma"/>
        </w:rPr>
        <w:t>art.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784, inc. I, do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Novo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Código de Processo Civil (NCPC) que o</w:t>
      </w:r>
      <w:r>
        <w:rPr>
          <w:rStyle w:val="Appleconvertedspace"/>
          <w:rFonts w:cs="Tahoma" w:ascii="Tahoma" w:hAnsi="Tahoma"/>
          <w:b/>
          <w:bCs/>
        </w:rPr>
        <w:t> </w:t>
      </w:r>
      <w:r>
        <w:rPr>
          <w:rStyle w:val="Normaltextrun"/>
          <w:rFonts w:cs="Tahoma" w:ascii="Tahoma" w:hAnsi="Tahoma"/>
        </w:rPr>
        <w:t>cheque é um título executivo extrajudicial, cujo</w:t>
      </w:r>
      <w:hyperlink r:id="rId2">
        <w:r>
          <w:rPr>
            <w:rStyle w:val="LinkdaInternet"/>
            <w:rFonts w:cs="Tahoma" w:ascii="Tahoma" w:hAnsi="Tahoma"/>
            <w:color w:val="000000"/>
          </w:rPr>
          <w:t> </w:t>
        </w:r>
        <w:r>
          <w:rPr>
            <w:rStyle w:val="LinkdaInternet"/>
            <w:rFonts w:cs="Tahoma" w:ascii="Tahoma" w:hAnsi="Tahoma"/>
            <w:color w:val="000000"/>
          </w:rPr>
          <w:t>prazo prescricional para sua execução é de 06 (seis) meses contados a partir do término dos 30 (trinta) dias para a sua apresentação na praça onde tenha sido emitido</w:t>
        </w:r>
      </w:hyperlink>
      <w:r>
        <w:rPr>
          <w:rStyle w:val="Normaltextrun"/>
          <w:rFonts w:cs="Tahoma" w:ascii="Tahoma" w:hAnsi="Tahoma"/>
          <w:color w:val="000000"/>
        </w:rPr>
        <w:t>, confirme prevê a</w:t>
      </w:r>
      <w:r>
        <w:rPr>
          <w:rStyle w:val="Appleconvertedspace"/>
          <w:rFonts w:cs="Tahoma" w:ascii="Tahoma" w:hAnsi="Tahoma"/>
          <w:color w:val="000000"/>
        </w:rPr>
        <w:t> </w:t>
      </w:r>
      <w:r>
        <w:rPr>
          <w:rStyle w:val="Normaltextrun"/>
          <w:rFonts w:cs="Tahoma" w:ascii="Tahoma" w:hAnsi="Tahoma"/>
          <w:color w:val="000000"/>
        </w:rPr>
        <w:t>Lei nº. 7.357/85, nos art. 33 c/c art. 59. Portanto, decorrido esse tempo, o título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perde a sua eficácia.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Entretanto, com o advento da Lei n° 9.079/95, que acrescentou o Cap. XV ao CPC (art. 1.102-A, art. 1.102-B e art. 1.102-C),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que agora foi novamente abraçada pelo Novo Código de Processo Civil (art. 700),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criando a Ação Monitória, passou-se a admitir que o Autor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reaveja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pagamento de soma em dinheiro, mesmo que decorrente de título executivo sem eficácia, desde que possua prova escrita deste, pois o cheque perde a sua força executiva, mas mantém a sua natureza de título de crédito.   O que é o caso, como se demonstrará no desenrolar da presente ação.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Art.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700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NCPC,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in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verbis</w:t>
      </w:r>
      <w:r>
        <w:rPr>
          <w:rStyle w:val="Normaltextrun"/>
          <w:rFonts w:cs="Tahoma" w:ascii="Tahoma" w:hAnsi="Tahoma"/>
        </w:rPr>
        <w:t>:</w:t>
      </w:r>
    </w:p>
    <w:p>
      <w:pPr>
        <w:pStyle w:val="Paragraph"/>
        <w:spacing w:beforeAutospacing="0" w:before="0" w:afterAutospacing="0" w:after="0"/>
        <w:ind w:left="226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Style w:val="Normaltextrun"/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700. 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 ação monitória pode ser proposta por aquele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que afirmar, com base em prova escrita sem eficácia de título executivo, ter direito de exigir do devedor capaz: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pagamento de quantia em dinheiro;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a entrega de coisa fungível ou infungível ou de bem móvel ou imóvel;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o adimplemento de obrigação de fazer ou de não fazer.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Deste modo, é perfeitamente viável que o credor de um cheque prescrito se utilize da Ação Monitória para o recebimento da quantia devida, pois o título é prova escrita da dívida, cuja admissão é pacífica diante da redação do enunciado 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Súmula nº 299 do Superior Tribunal de Justiça, que afirma que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dispõe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“é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admissível a ação monitória fundada em cheque prescrito”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Assim, em se tratando de cheques datados a partir de outubro de 2010, a pretensão de cobrança da dívida, via Ação Monitória, passa a ser de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  <w:b/>
          <w:bCs/>
        </w:rPr>
        <w:t>05 (cinco) anos</w:t>
      </w:r>
      <w:r>
        <w:rPr>
          <w:rStyle w:val="Normaltextrun"/>
          <w:rFonts w:cs="Tahoma" w:ascii="Tahoma" w:hAnsi="Tahoma"/>
        </w:rPr>
        <w:t>, conforme o preceitua o artigo 206, § 5º, I, do Código Civil, ratificado esse entendimento por intermédio do julgado do</w:t>
      </w:r>
      <w:r>
        <w:rPr>
          <w:rStyle w:val="Appleconvertedspace"/>
          <w:rFonts w:cs="Tahoma" w:ascii="Tahoma" w:hAnsi="Tahoma"/>
        </w:rPr>
        <w:t> </w:t>
      </w:r>
      <w:hyperlink r:id="rId3">
        <w:r>
          <w:rPr>
            <w:rStyle w:val="Normaltextrun"/>
            <w:rFonts w:cs="Tahoma" w:ascii="Tahoma" w:hAnsi="Tahoma"/>
            <w:color w:val="000000"/>
          </w:rPr>
          <w:t>REsp 926312</w:t>
        </w:r>
      </w:hyperlink>
      <w:r>
        <w:rPr>
          <w:rStyle w:val="Appleconvertedspace"/>
          <w:rFonts w:cs="Tahoma" w:ascii="Tahoma" w:hAnsi="Tahoma"/>
          <w:color w:val="000000"/>
        </w:rPr>
        <w:t> </w:t>
      </w:r>
      <w:r>
        <w:rPr>
          <w:rStyle w:val="Normaltextrun"/>
          <w:rFonts w:cs="Tahoma" w:ascii="Tahoma" w:hAnsi="Tahoma"/>
          <w:color w:val="000000"/>
        </w:rPr>
        <w:t>d</w:t>
      </w:r>
      <w:r>
        <w:rPr>
          <w:rStyle w:val="Normaltextrun"/>
          <w:rFonts w:cs="Tahoma" w:ascii="Tahoma" w:hAnsi="Tahoma"/>
        </w:rPr>
        <w:t>o STJ, que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expõe: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caso o portador do cheque opte pela ação monitória, o prazo prescricional será quinquenal, conforme disposto no artigo 206, parágrafo 5º, inciso I, do Código Civil, e não haverá necessidade de descrição da causa da dívida.”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A fim de reforçar o direito do autor, podemos, ainda, destacar a lição do Prof.</w:t>
      </w:r>
      <w:r>
        <w:rPr>
          <w:rStyle w:val="Appleconvertedspace"/>
          <w:rFonts w:cs="Tahoma" w:ascii="Tahoma" w:hAnsi="Tahoma"/>
          <w:b/>
          <w:bCs/>
        </w:rPr>
        <w:t> </w:t>
      </w:r>
      <w:r>
        <w:rPr>
          <w:rStyle w:val="Normaltextrun"/>
          <w:rFonts w:cs="Tahoma" w:ascii="Tahoma" w:hAnsi="Tahoma"/>
          <w:b/>
          <w:bCs/>
        </w:rPr>
        <w:t>Humberto Theodoro Júnior a respeito da ação monitória</w:t>
      </w:r>
      <w:r>
        <w:rPr>
          <w:rStyle w:val="Normaltextrun"/>
          <w:rFonts w:cs="Tahoma" w:ascii="Tahoma" w:hAnsi="Tahoma"/>
        </w:rPr>
        <w:t>, retirado do seu livro “Curso de Direito Processual Civil”. 42ª Ed. Rio de Janeiro: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Forense, 2010, vol. 3. Pág. 333: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Trata-se, em primeiro lugar, de uma opção que a lei confere ao credor e não um ônus ou uma imposição a que invariavelmente tenha de se submeter na escolha da via processual. O procedimento monitório substitui a ação de conhecimento, se o credor assim desejar. Se, porém, preferir a via normal da ação condenatória, nada o impedirá de usá-la. Ao escolher a ação monitória, o que a parte tem em mira é abreviar o caminho complicado do procedimento ordinário, se o réu, como é provável, não se interessar pela discussão da obrigação. Para incentivá-lo a não oferecer defesa infundada ou meramente procrastinatória, a lei prevê que, ‘cumprido o réu o mandado, ficará isento de custas e honorários advocatícios’ (art. 1102-C, § 1º). Com isso tenta a lei acelerar a satisfação do direito de credor, criando atrativos também para o devedor, no plano econômico, e fazendo com que este somente se disponha a arcar com os encargos processuais dos embargos se, realmente, estiver convencido da inexistência do direito do credor.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 pretensão do Autor está devidamente fundamentada nesta petição inicial, uma vez que colacionou-se os cheques prescritos devidamente assinados pelo Réu, prescindindo da demonstração 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causa debendi, consoante jurisprudência.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Em relação à atualização monetária do valor devido (que trazemos à guisa através de demonstrativo contábil em anexo), o art. 397 do Código Civil (CC) menciona: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inadimplemento da obrigação, positiva e líquida, no seu termo, constitui de pleno direito em mora o devedor.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Já em relação aos juros moratórios, estes devem incidir a partir do ato citatório, consoante o art. 405 do mesmo dispositivo legal: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rPr>
          <w:b/>
          <w:b/>
          <w:bCs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 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405 – Contam-se os juros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 mora desde a citação inicial.</w:t>
      </w:r>
    </w:p>
    <w:p>
      <w:pPr>
        <w:pStyle w:val="Paragraph"/>
        <w:spacing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Nesse sentido, os seguintes julgados: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IntenseQuote"/>
        <w:jc w:val="left"/>
        <w:rPr>
          <w:rStyle w:val="Normaltextrun"/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APELAÇAO. AÇÃO MONITÓRIA. TERMO INICIAL. JUROS DE MORA. CITAÇÃO. CORREÇÃO MONETÁRIA. VENCIMENTO DE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CADA PARCELA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Prestações vincendas. Os juros de mora incidirão a partir da citação válida, no percentual de 1% ao mês, nos termos do artigo 405 do Código Civil. Na ação monitória para cobrança de cheque prescrito, a correção monetária corre a partir da data do respectivo vencimento. Em se tratando de ação monitória fundada em título de crédito prescrito, que espelha obrigação líquida, os juros de mora devem incidir a partir do vencimento da obrigação. (TJMG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– APCV 5465597-36.2009.8.13.0024; Belo Horizonte; Décima Quarta Câmara Cível; Rel. Des. Rogério Medeiros;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Spellingerror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Julg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02/02/2012; DJEMG 14/03/2012) 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MONITÓRIA. PEDIDO CONTRAPOSTO. NÃO CABIMENTO. CHEQUE PRESCRITO. NEGÓCIO SUBJACENTE CONCLUÍDO. PROCEDÊNCIA. CORREÇÃO MONETÁRIA E JUROS DE MORA. TERMO INICIAL.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incabível, em sede de embargos monitórios, a apresentação de pedido contraposto, sendo possível, nessa situação, a apresentação de reconvenção, nos termos da Súmula n. 292 do STJ. É procedente ação monitória quando provado que o negócio do qual se originam os cheques prescritos foi devidamente concluído. Na ação monitória, os juros moratórios contam-se a partir da citação, e a correção monetária a partir do vencimento do título. (TJRO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– APL 0044388-37.2007.8.22.0007; Rel. Des. Marcos Alaor Diniz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Spellingerror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Grangeia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;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Spellingerror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Julg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23/02/2011; DJERO 01/03/2011; Pág. 38).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Portando, demonstrado está o direito do autor em reaver o que lhe é justamente devido e ajustado monetariamente. O que nos leva aos pedidos da presente ação.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PEDIDOS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Isto posto, requer: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a) a expedição de mandado monitório, determinando a citação do réu para que no prazo de 15 (quinze) dias pague,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com a devida atualização do valor,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o mandado sob pena de conversão em título executivo nos termos do artigo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701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do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Novo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Código de Processo Civil;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b) em querendo, poderá o réu em igual prazo apresentar embargos; e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Eop"/>
          <w:rFonts w:cs="Tahoma" w:ascii="Tahoma" w:hAnsi="Tahoma"/>
        </w:rPr>
        <w:t>c) Que o pagamento das custa sejam realizados ao final do processo, levando em conta todo o débito suportado pelo autor, que não se limita apenas ao oriundo desta ação; e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d)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caso o mandado não seja cumprido espontaneamente requer seja o réu condenado, nas custas e honorários a serem arbitrados conforme artigo art. 701 NCPC.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Com a eventual oposição de embargos, protesta provar alegado por todos os meios de prova em direito admitidos, que ficam desde já requeridos, ainda que não especificados.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Atribui-se à causa o valor de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R$</w:t>
      </w:r>
      <w:r>
        <w:rPr>
          <w:rStyle w:val="Appleconvertedspace"/>
          <w:rFonts w:cs="Tahoma" w:ascii="Tahoma" w:hAnsi="Tahoma"/>
        </w:rPr>
        <w:t> 0000 (REAIS)</w:t>
      </w:r>
      <w:r>
        <w:rPr>
          <w:rStyle w:val="Normaltextrun"/>
          <w:rFonts w:cs="Tahoma" w:ascii="Tahoma" w:hAnsi="Tahoma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5f66d6"/>
    <w:rPr/>
  </w:style>
  <w:style w:type="character" w:styleId="Appleconvertedspace" w:customStyle="1">
    <w:name w:val="apple-converted-space"/>
    <w:basedOn w:val="DefaultParagraphFont"/>
    <w:qFormat/>
    <w:rsid w:val="005f66d6"/>
    <w:rPr/>
  </w:style>
  <w:style w:type="character" w:styleId="Eop" w:customStyle="1">
    <w:name w:val="eop"/>
    <w:basedOn w:val="DefaultParagraphFont"/>
    <w:qFormat/>
    <w:rsid w:val="005f66d6"/>
    <w:rPr/>
  </w:style>
  <w:style w:type="character" w:styleId="Spellingerror" w:customStyle="1">
    <w:name w:val="spellingerror"/>
    <w:basedOn w:val="DefaultParagraphFont"/>
    <w:qFormat/>
    <w:rsid w:val="005f66d6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05b4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05b4c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712d8"/>
    <w:rPr>
      <w:i/>
      <w:iCs/>
      <w:color w:val="5B9BD5" w:themeColor="accent1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5f66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5b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05b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8d5d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712d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ticoesonline.com.br/blog/video-aula-comentarios-lei-do-cheque-lei-7357/85-parte-1/3" TargetMode="External"/><Relationship Id="rId3" Type="http://schemas.openxmlformats.org/officeDocument/2006/relationships/hyperlink" Target="http://www.stj.jus.br/webstj/processo/justica/jurisprudencia.asp?tipo=num_pro&amp;valor=REsp 92631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LibreOffice/6.4.2.2$Windows_X86_64 LibreOffice_project/4e471d8c02c9c90f512f7f9ead8875b57fcb1ec3</Application>
  <Pages>8</Pages>
  <Words>1469</Words>
  <Characters>7509</Characters>
  <CharactersWithSpaces>8943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2016-03-22T19:21:00Z</dcterms:created>
  <dc:creator>Bruno Silva</dc:creator>
  <dc:description/>
  <dc:language>pt-BR</dc:language>
  <cp:lastModifiedBy/>
  <dcterms:modified xsi:type="dcterms:W3CDTF">2020-04-14T01:54:44Z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