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ind w:left="0"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00ª VARA CÍVEL DO FORO DE CIDADE/UF</w:t>
      </w:r>
      <w:bookmarkStart w:id="0" w:name="_Hlk26956703"/>
      <w:bookmarkEnd w:id="0"/>
    </w:p>
    <w:p>
      <w:pPr>
        <w:pStyle w:val="Normal"/>
        <w:spacing w:lineRule="auto" w:line="360" w:before="0" w:after="240"/>
        <w:rPr>
          <w:rFonts w:ascii="Tahoma" w:hAnsi="Tahoma" w:cs="Tahoma"/>
          <w:b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before="0" w:after="240"/>
        <w:rPr>
          <w:rFonts w:ascii="Tahoma" w:hAnsi="Tahoma" w:cs="Tahoma"/>
          <w:b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Processo nº 0000</w:t>
      </w:r>
    </w:p>
    <w:p>
      <w:pPr>
        <w:pStyle w:val="Normal"/>
        <w:spacing w:before="0" w:after="240"/>
        <w:rPr>
          <w:rFonts w:ascii="Tahoma" w:hAnsi="Tahoma" w:cs="Tahoma"/>
          <w:b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before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360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  <w:spacing w:val="2"/>
        </w:rPr>
        <w:t>FULANO DE TAL</w:t>
      </w:r>
      <w:r>
        <w:rPr>
          <w:rFonts w:cs="Tahoma" w:ascii="Tahoma" w:hAnsi="Tahoma"/>
          <w:b/>
          <w:color w:val="000000"/>
          <w:spacing w:val="2"/>
        </w:rPr>
        <w:t xml:space="preserve">, </w:t>
      </w:r>
      <w:r>
        <w:rPr>
          <w:rFonts w:cs="Tahoma" w:ascii="Tahoma" w:hAnsi="Tahoma"/>
        </w:rPr>
        <w:t xml:space="preserve">devidamente qualificado nos autos do processo em epígrafe, vem, perante Vossa Excelência, nos autos da presente </w:t>
      </w:r>
      <w:r>
        <w:rPr>
          <w:rFonts w:cs="Tahoma" w:ascii="Tahoma" w:hAnsi="Tahoma"/>
          <w:b/>
        </w:rPr>
        <w:t>AÇÃO DECLARATÓRIA DE INEXIGIBILIDADE DE TRIBUTOS CUMULADA COM REPETIÇÃO DE INDÉBITO</w:t>
      </w:r>
      <w:r>
        <w:rPr>
          <w:rFonts w:cs="Tahoma" w:ascii="Tahoma" w:hAnsi="Tahoma"/>
        </w:rPr>
        <w:t xml:space="preserve"> ajuizada contra o </w:t>
      </w:r>
      <w:r>
        <w:rPr>
          <w:rFonts w:cs="Tahoma" w:ascii="Tahoma" w:hAnsi="Tahoma"/>
          <w:b/>
        </w:rPr>
        <w:t>ESTADO TAL</w:t>
      </w:r>
      <w:r>
        <w:rPr>
          <w:rFonts w:cs="Tahoma" w:ascii="Tahoma" w:hAnsi="Tahoma"/>
        </w:rPr>
        <w:t>, igualmente qualificado, oferecer</w:t>
      </w:r>
    </w:p>
    <w:p>
      <w:pPr>
        <w:pStyle w:val="Normal"/>
        <w:spacing w:lineRule="auto" w:line="360" w:before="0" w:after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RÉPLICA À CONTESTAÇÃO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apresentada pelo Requerido, pelas razões de fato e de direito a seguir expostos.</w:t>
      </w:r>
    </w:p>
    <w:p>
      <w:pPr>
        <w:pStyle w:val="Normal"/>
        <w:spacing w:lineRule="auto" w:line="360" w:before="36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36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SINTESE DO PROCESSO</w:t>
      </w:r>
    </w:p>
    <w:p>
      <w:pPr>
        <w:pStyle w:val="Normal"/>
        <w:spacing w:lineRule="auto" w:line="360" w:before="36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O(A) Autor(a) ingressou com a presente ação para ver declarada a inexistência de relação jurídico-tributária que a obrigue a recolher o ICMS sobre quaisquer taxas de transmissão, distribuição e demais encargos setoriais nas contas de energia, restringindo a respectiva base de cálculo aos valores pagos a título de efetivo fornecimento e consumo de energia elétrica e a repetição do indébito do ICMS indevidamente recolhido nos últimos cinco anos.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O Réu contestou a presente ação alegando que TAL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eastAsia="Calibri" w:cs="Tahoma"/>
        </w:rPr>
      </w:pPr>
      <w:r>
        <w:rPr>
          <w:rFonts w:eastAsia="Calibri" w:cs="Tahoma" w:ascii="Tahoma" w:hAnsi="Tahoma"/>
        </w:rPr>
        <w:t>Assim, em face do argumentado, a seguir será apresentado as razões de manifestação sobre a contestação.</w:t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eastAsia="Calibri" w:cs="Tahoma"/>
        </w:rPr>
      </w:pPr>
      <w:r>
        <w:rPr>
          <w:rFonts w:eastAsia="Calibri" w:cs="Tahoma" w:ascii="Tahoma" w:hAnsi="Tahoma"/>
        </w:rPr>
      </w:r>
    </w:p>
    <w:p>
      <w:pPr>
        <w:pStyle w:val="ListParagraph"/>
        <w:spacing w:lineRule="auto" w:line="360" w:before="120" w:after="120"/>
        <w:ind w:left="0" w:hanging="0"/>
        <w:contextualSpacing/>
        <w:rPr>
          <w:rFonts w:ascii="Tahoma" w:hAnsi="Tahoma" w:eastAsia="Calibri" w:cs="Tahoma"/>
        </w:rPr>
      </w:pPr>
      <w:r>
        <w:rPr>
          <w:rFonts w:eastAsia="Calibri" w:cs="Tahoma" w:ascii="Tahoma" w:hAnsi="Tahoma"/>
        </w:rPr>
      </w:r>
    </w:p>
    <w:p>
      <w:pPr>
        <w:pStyle w:val="ListParagraph"/>
        <w:spacing w:lineRule="auto" w:line="360" w:before="120" w:after="120"/>
        <w:ind w:left="0" w:hanging="0"/>
        <w:contextualSpacing/>
        <w:rPr>
          <w:rFonts w:ascii="Tahoma" w:hAnsi="Tahoma" w:eastAsia="Calibri" w:cs="Tahoma"/>
          <w:b/>
          <w:b/>
          <w:bCs/>
        </w:rPr>
      </w:pPr>
      <w:r>
        <w:rPr>
          <w:rFonts w:eastAsia="Calibri" w:cs="Tahoma" w:ascii="Tahoma" w:hAnsi="Tahoma"/>
          <w:b/>
          <w:bCs/>
        </w:rPr>
        <w:t>DO DIREITO</w:t>
      </w:r>
    </w:p>
    <w:p>
      <w:pPr>
        <w:pStyle w:val="ListParagraph"/>
        <w:spacing w:lineRule="auto" w:line="360" w:before="120" w:after="120"/>
        <w:ind w:left="0" w:hanging="0"/>
        <w:contextualSpacing/>
        <w:rPr>
          <w:rFonts w:ascii="Tahoma" w:hAnsi="Tahoma" w:eastAsia="Calibri" w:cs="Tahoma"/>
          <w:b/>
          <w:b/>
          <w:bCs/>
        </w:rPr>
      </w:pPr>
      <w:r>
        <w:rPr>
          <w:rFonts w:eastAsia="Calibri" w:cs="Tahoma" w:ascii="Tahoma" w:hAnsi="Tahoma"/>
          <w:b/>
          <w:bCs/>
        </w:rPr>
      </w:r>
    </w:p>
    <w:p>
      <w:pPr>
        <w:pStyle w:val="ListParagraph"/>
        <w:spacing w:lineRule="auto" w:line="360" w:before="120" w:after="120"/>
        <w:ind w:left="0" w:hanging="0"/>
        <w:contextualSpacing/>
        <w:rPr>
          <w:rFonts w:ascii="Tahoma" w:hAnsi="Tahoma" w:eastAsia="Calibri" w:cs="Tahoma"/>
          <w:b/>
          <w:b/>
          <w:bCs/>
        </w:rPr>
      </w:pPr>
      <w:r>
        <w:rPr>
          <w:rFonts w:eastAsia="Calibri" w:cs="Tahoma" w:ascii="Tahoma" w:hAnsi="Tahoma"/>
          <w:b/>
          <w:bCs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Os argumentos levantados pelo Réu em sua contestação carecem de qualquer consideração.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Na hipótese, a controvérsia estabelecida na demanda refere-se à ilegalidade da incidência do tributo ICMS sobre as tarifas TUST e TUSD cobradas na tarifa de energia elétrica.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Inicialmente, não merece acolhida a alegação de ilegitimidade ativa ad causam, na medida em que demonstrado à saciedade que a parte Autora é contribuinte de fato do tributo, sendo manifesto o seu interesse jurídico no questionamento do valor da exação.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Hugo de Brito Machado, em comentário ao artigo 166 do Código Tributário Nacional, anota que, com amparo no dispositivo, a Administração tem sistematicamente rejeitado pedidos de restituição do indébito nos casos de tributação indireta, seja o pedido formulado pelo contribuinte de fato, seja pelo contribuinte de direito.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Nesse ponto, anota o autor: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O artigo 166 do Código Tributário Nacional tem suscitado constante questionamento. Sempre que alguém pede a restituição de um tributo, a Fazenda Pública o invoca como fundamento de sua recusa. Aliás, a Fazenda Pública sempre se recusa a fazer a restituição de tributos. Quando o pedido de restituição é feito por quem efetuou o pagamento, a Fazenda diz que ocorreu a repercussão e invoca o art. 166 do Código Tributário Nacional para fundamentar sua contestação. E quando o pedido é feito por quem afirma haver suportado o ônus, a Fazenda alega a ilegitimidade processual, em face da inexistência de relação jurídica tributária entre ela e o requerente, que apenas teria pago o preço da mercadoria, ou do serviço (MACHADO, Hugo de Brito. Comentários ao Código Tributário Nacional. São Paulo: Atlas, 2007. v. 3. p. 394).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Independentemente das críticas que se possam fazer à afirmativa, o fato é que o caso concreto não destoa do padrão de comportamento observado pelo tributarista. O Estado, embora reconheça a qualidade de tributo indireto do ICMS, cujo valor é destacado nas faturas de energia elétrica, sustenta a ilegitimidade ativa do contribuinte de fato.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O argumento é insubsistente. O contribuinte de fato, tendo seu patrimônio subtraído pela tributação excessiva, tem sua esfera patrimonial agredida e, portanto, manifesto interesse jurídico na demanda, ou, na linguagem adotada por Pontes de Miranda e Ovídio Batista, "ação de direito material".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Pensada a questão em termos práticos, observa-se que ao se acolher a linha de argumentação sugerida pelo recorrente, ter-se-ia por resultado sujeitar o Autor à boa vontade da Distribuidora de Energia para que esta ajuizasse em seu favor uma ação contra o Estado. Uma tal solução que, ao lado de malferir o acesso à Justiça, seria contrária à disposição dos artigos 3.º e 267, VI, do Novo Código de Processo Civil.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No mesmo sentido, colhe-se pronunciamento do Superior Tribunal de Justiça: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 xml:space="preserve">RECURSO ESPECIAL. REPRESENTATIVO DA CONTROVÉRSIA. ART. 543-C CÓDIGO DE PROCESSO CIVIL.  CONCESSÃO DE SERVIÇO PÚBLICO. ENERGIA ELÉTRICA. INCIDÊNCIA DO ICMS SOBRE A DEMANDA "CONTRATADA E NÃO UTILIZADA". </w:t>
      </w:r>
      <w:r>
        <w:rPr>
          <w:rFonts w:cs="Tahoma" w:ascii="Tahoma" w:hAnsi="Tahoma"/>
          <w:b/>
        </w:rPr>
        <w:t>LEGITIMIDADE DO CONSUMIDOR PARA PROPOR AÇÃO DECLARATÓRIA C/C REPETIÇÃO DE INDÉBITO.</w:t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b/>
        </w:rPr>
        <w:t>Diante do que dispõe a legislação que disciplina as concessões de serviço público e da peculiar relação envolvendo o Estado-concedente, a concessionária e o consumidor, esse último tem legitimidade para propor ação declaratória c/c repetição de indébito na qual se busca afastar, no tocante ao fornecimento de energia elétrica, a incidência do ICMS sobre a demanda contratada e não utilizada</w:t>
      </w:r>
      <w:r>
        <w:rPr>
          <w:rFonts w:cs="Tahoma" w:ascii="Tahoma" w:hAnsi="Tahoma"/>
        </w:rPr>
        <w:t>.</w:t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- O acórdão proferido no REsp 903.394/AL (repetitivo), da Primeira Seção, Ministro Luiz Fux, DJe de 26.4.2010, dizendo respeito a distribuidores de bebidas, não se aplica ao casos de fornecimento de energia elétrica.</w:t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Recurso especial improvido. Acórdão proferido sob o rito do art. 543-C do Código de Processo Civil.</w:t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(REsp 1299303/SC, Rel. Ministro CESAR ASFOR ROCHA, PRIMEIRA SEÇÃO, julgado em 08/08/2012, DJe 14/08/2012, sem grifo no original)</w:t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  <w:t>Oportuno destacar ainda que esse entendimento, não implica em violação ou afronta aos artigos 155, §2º, inciso XII, a, da Constituição Federal, 121, inciso I e 166, ambos do CTN, 4º da Lei Complementar n.87/96 e 8º da Lei n. 10.297/96, que definem que é o contribuinte, ou sujeito passivo da obrigação tributária.</w:t>
      </w:r>
    </w:p>
    <w:p>
      <w:pPr>
        <w:pStyle w:val="Normal"/>
        <w:spacing w:lineRule="auto" w:line="360" w:before="36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No que toca ao mérito, para melhor elucidar a questão, foi explicado na petição inicial que o transporte da energia (da geradora à unidade consumidora) é dividido em dois segmentos: transmissão (TUST) e distribuição (TUSD). A transmissão entrega a energia à distribuidora e a esta, por sua vez, distribui a energia ao usuário final.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Desta forma, a Tarifa de Uso dos Sistemas Elétricos de Distribuição (TUSD) e a Tarifa de Uso dos Sistemas Elétricos de Transmissão (TUST) foram regulamentadas pelo § 6º do artigo 15 da Lei nº 9.074/1995, in verbis.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Spacing1"/>
        <w:spacing w:lineRule="auto" w:line="360" w:before="360" w:after="24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§ 6º - É assegurado aos fornecedores e respectivos consumidores livre acesso aos sistemas de distribuição e transmissão de concessionário e permissionário de serviço público, mediante ressarcimento do custo de transporte envolvido, calculado com base em critérios fixados pelo poder concedente..</w:t>
      </w:r>
    </w:p>
    <w:p>
      <w:pPr>
        <w:pStyle w:val="NoSpacing1"/>
        <w:spacing w:lineRule="auto" w:line="360" w:before="360" w:after="24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 TUSD, especificamente, é utilizada para repor o faturamento de encargos de uso dos sistemas de distribuição de consumidores livres, conforme disposto no Decreto 4.667/2003. De outro norte, a TUST refere-se aos custos inerentes ao uso do sistema de transmissão, notadamente o serviço de transporte de grandes quantias de energia elétrica por longas distancias, o qual, no Brasil, é feito utilizando-se de redes de linhas de transmissão e subestações.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Em outras palavras, a TUSD e a TUST são faturadas separadamente do fornecimento de energia e visam remunerar os serviços de distribuição e transmissão, atividades autônomas e distintas daquela alcançada pela exação, constituindo meio necessário à prestação do aludido serviço.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 energia elétrica, para fins jurídico-tributários, sempre foi considerada como mercadoria, sujeita, portanto, à incidência do ICMS. Ao definir as hipóteses de incidência do ICMS, a Lei Complementar n. 87/1996 cuidou de abranger, conforme o previsto no artigo 155, inciso II, da CF/88, tão somente as operações relativas à circulação de mercadorias, conforme se observa do texto do seu art. 2º: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Art. 2° O imposto incide sobre:</w:t>
      </w:r>
    </w:p>
    <w:p>
      <w:pPr>
        <w:pStyle w:val="NoSpacing1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 - Operações relativas à circulação de mercadorias, inclusive o fornecimento de alimentação e bebidas em bares, restaurantes e estabelecimentos similares;</w:t>
      </w:r>
    </w:p>
    <w:p>
      <w:pPr>
        <w:pStyle w:val="NoSpacing1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II - Prestações de serviços de transporte interestadual e intermunicipal, por qualquer via, de pessoas, bens, mercadorias ou valores;</w:t>
      </w:r>
    </w:p>
    <w:p>
      <w:pPr>
        <w:pStyle w:val="NoSpacing1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III - Prestações onerosas de serviços de comunicação, por qualquer meio, inclusive a geração, a emissão, a recepção, a transmissão, a retransmissão, a repetição e a ampliação de comunicação de qualquer natureza;</w:t>
      </w:r>
    </w:p>
    <w:p>
      <w:pPr>
        <w:pStyle w:val="NoSpacing1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IV - Fornecimento de mercadorias com prestação de serviços não compreendidos na competência tributária dos Municípios;</w:t>
      </w:r>
    </w:p>
    <w:p>
      <w:pPr>
        <w:pStyle w:val="NoSpacing1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V - Fornecimento de mercadorias com prestação de serviços sujeitos ao imposto sobre serviços, de competência dos Municípios, quando a lei complementar aplicável expressamente o sujeitar à incidência do imposto estadual.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Na hipótese, todavia, considerando a natureza e características únicas da energia elétrica, é certo que ela somente poderá ser individualizada, ou seja, somente poderá ser quantificada, a partir do momento em que for utilizada pelo consumidor final.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Logo, o fato gerador do imposto só pode ocorrer pela entrega e efetivo consumo da energia elétrica ao consumidor, conforme disposição do art. 12, inciso I, da Lei Complementar n. 87/1996: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Spacing1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Art. 12. Considera-se ocorrido o fato gerador do imposto no momento:</w:t>
      </w:r>
    </w:p>
    <w:p>
      <w:pPr>
        <w:pStyle w:val="NoSpacing1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 - da saída de mercadoria de estabelecimento de contribuinte, ainda que para outro estabelecimento do mesmo titular;</w:t>
      </w:r>
    </w:p>
    <w:p>
      <w:pPr>
        <w:pStyle w:val="NoSpacing1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Portanto, a cobrança do ICMS nas faturas de energia elétrica com a inclusão dos encargos TUST e TUSD na sua base de cálculo atenta frontalmente contra o disposto no art. 97, inciso IV, do Código Tributário Nacional, in verbis.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Art. 97. Somente a lei pode estabelecer: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[...]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IV - a fixação de alíquota do tributo e da sua base de cálculo, ressalvado o \\disposto nos artigos 21, 26, 39, 57 e 65;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Acerca do tema, ambas as Turmas de Direito Público do Superior Tribunal de Justiça, que decidem sobre a matéria tributária e compõem a Primeira Seção da Corte Superior, manifestaram-se, de forma pacífica, pela ilegalidade da incidência do ICMS sobre o TUSD e a TUST, veja-se: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 xml:space="preserve">AGRAVO REGIMENTAL. SUSPENSÃO DE LIMINAR. INDEFERIMENTO. </w:t>
      </w:r>
      <w:r>
        <w:rPr>
          <w:rFonts w:cs="Tahoma" w:ascii="Tahoma" w:hAnsi="Tahoma"/>
          <w:b/>
          <w:sz w:val="24"/>
          <w:szCs w:val="24"/>
          <w:lang w:val="pt-BR"/>
        </w:rPr>
        <w:t>ICMS. INCIDÊNCIA DA TUST E TUSD. DESCABIMENTO. JURISPRUDÊNCIA FIRMADA NO STJ</w:t>
      </w:r>
      <w:r>
        <w:rPr>
          <w:rFonts w:cs="Tahoma" w:ascii="Tahoma" w:hAnsi="Tahoma"/>
          <w:sz w:val="24"/>
          <w:szCs w:val="24"/>
          <w:lang w:val="pt-BR"/>
        </w:rPr>
        <w:t>. AGRAVO QUE NÃO INFIRMA A FUNDAMENTAÇÃO DA DECISÃO ATACADA.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NEGADO PROVIMENTO.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 xml:space="preserve">I - A decisão agravada, ao indeferir o pedido suspensivo, fundou-se no fato de não ter ficado devidamente comprovada a alegada lesão à economia pública estadual, bem como em razão de </w:t>
      </w:r>
      <w:r>
        <w:rPr>
          <w:rFonts w:cs="Tahoma" w:ascii="Tahoma" w:hAnsi="Tahoma"/>
          <w:b/>
          <w:sz w:val="24"/>
          <w:szCs w:val="24"/>
          <w:lang w:val="pt-BR"/>
        </w:rPr>
        <w:t>a jurisprudência desta eg. Corte de Justiça já ter firmado entendimento de que a Taxa de Uso do Sistema de Transmissão de Energia Elétrica - TUST e a Taxa de Uso do Sistema de Distribuição de Energia Elétrica - TUSD não fazem parte da base de cálculo do ICMS</w:t>
      </w:r>
      <w:r>
        <w:rPr>
          <w:rFonts w:cs="Tahoma" w:ascii="Tahoma" w:hAnsi="Tahoma"/>
          <w:sz w:val="24"/>
          <w:szCs w:val="24"/>
          <w:lang w:val="pt-BR"/>
        </w:rPr>
        <w:t xml:space="preserve"> (AgRg no REsp n. 1.408.485/SC, relator Ministro Humberto Martins, Segunda Turma, julgado em 12/5/2015, DJe de 19/5/2015; AgRg nos EDcl no REsp n. 1.267.162/MG, relator Ministro Herman Benjamin, Segunda Turma, julgado em 16/8/2012, DJe de 24/8/2012).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II - A alegação do agravante de que a jurisprudência ainda não está pacificada   não   vem   devidamente fundamentada, não tendo ele apresentado sequer uma decisão a favor de sua tese.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III - Fundamentação da decisão agravada não infirmada.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Agravo regimental improvido.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(AgRg na SLS 2.103/PI, Rel. Ministro FRANCISCO FALCÃO, CORTE ESPECIAL, julgado em 04/05/2016, DJe 20/05/2016, sem grifo no original)</w:t>
      </w:r>
    </w:p>
    <w:p>
      <w:pPr>
        <w:pStyle w:val="NoSpacing1"/>
        <w:spacing w:before="120" w:after="12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(...)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 xml:space="preserve">TRIBUTÁRIO. AGRAVO REGIMENTAL NO RECURSO ESPECIAL. LEGITIMIDADE ATIVA DO CONTRIBUINTE DE FATO. </w:t>
      </w:r>
      <w:r>
        <w:rPr>
          <w:rFonts w:cs="Tahoma" w:ascii="Tahoma" w:hAnsi="Tahoma"/>
          <w:b/>
          <w:sz w:val="24"/>
          <w:szCs w:val="24"/>
          <w:lang w:val="pt-BR"/>
        </w:rPr>
        <w:t>UTILIZAÇÃO DE LINHA DE TRANSMISSÃO E DE DISTRIBUIÇÃO DE ENERGIA ELÉTRICA. ICMS SOBRE TARIFA DE USO DOS SISTEMA DE DISTRIBUIÇÃO (TUSD). IMPOSSIBILIDADE. AUSÊNCIA DE OPERAÇÃO MERCANTIL</w:t>
      </w:r>
      <w:r>
        <w:rPr>
          <w:rFonts w:cs="Tahoma" w:ascii="Tahoma" w:hAnsi="Tahoma"/>
          <w:sz w:val="24"/>
          <w:szCs w:val="24"/>
          <w:lang w:val="pt-BR"/>
        </w:rPr>
        <w:t>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 xml:space="preserve">1. </w:t>
      </w:r>
      <w:r>
        <w:rPr>
          <w:rFonts w:cs="Tahoma" w:ascii="Tahoma" w:hAnsi="Tahoma"/>
          <w:b/>
          <w:sz w:val="24"/>
          <w:szCs w:val="24"/>
          <w:lang w:val="pt-BR"/>
        </w:rPr>
        <w:t>O ICMS sobre energia elétrica tem como fato gerador a circulação da mercadoria, e não do serviço de transporte de transmissão e distribuição de energia elétrica, incidindo, in casu, a Súmula 166/STJ</w:t>
      </w:r>
      <w:r>
        <w:rPr>
          <w:rFonts w:cs="Tahoma" w:ascii="Tahoma" w:hAnsi="Tahoma"/>
          <w:sz w:val="24"/>
          <w:szCs w:val="24"/>
          <w:lang w:val="pt-BR"/>
        </w:rPr>
        <w:t>. Dentre os precedentes mais recentes: AgRg nos EDcl no REsp 1267162/MG, Rel. Ministro Herman Benjamin, Segunda Turma, DJe 24/08/2012.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2. A Primeira Seção/STJ, ao apreciar o REsp 1.299.303/SC, Rel. Min.Cesar Asfor Rocha, DJe de 14.8.2012, na sistemática prevista no art. 543-C do CPC, pacificou entendimento no sentido de que o usuário do serviço de energia elétrica (consumidor em operação interna), na condição de contribuinte de fato, é parte legítima para discutir a incidência do ICMS sobre a demanda contratada de energia elétrica ou para pleitear a repetição do tributo mencionado, não sendo aplicável à hipótese a orientação firmada no julgamento do REsp 903.394/AL (1ª Seção, Rel. Min. Luiz Fux, DJe de 26.4.2010 - recurso submetido à sistemática prevista no art. 543-C do CPC).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3. No ponto, não há falar em ofensa à cláusula de reserva de plenário (art. 97 da Constituição Federal), tampouco em infringência da Súmula Vinculante nº 10, considerando que o STJ, o apreciar o REsp 1.299.303/SC, interpretou a legislação ordinária (art. 4º da Lei Complementar nº 87/96).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4. Agravo regimental não provido.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(AgRg no REsp 1278024/MG, Rel. Ministro BENEDITO GONÇALVES, PRIMEIRA TURMA, julgado em 07/02/2013, DJe 14/02/2013, sem grifo no original)</w:t>
      </w:r>
    </w:p>
    <w:p>
      <w:pPr>
        <w:pStyle w:val="NoSpacing1"/>
        <w:spacing w:before="120" w:after="12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(...)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 xml:space="preserve">PROCESSUAL CIVIL. TRIBUTÁRIO. OMISSÃO INEXISTENTE.  LEGITIMIDADE ATIVA. </w:t>
      </w:r>
      <w:r>
        <w:rPr>
          <w:rFonts w:cs="Tahoma" w:ascii="Tahoma" w:hAnsi="Tahoma"/>
          <w:b/>
          <w:sz w:val="24"/>
          <w:szCs w:val="24"/>
          <w:lang w:val="pt-BR"/>
        </w:rPr>
        <w:t xml:space="preserve">ICMS SOBRE "TUSD" E "TUST". NÃO INCIDÊNCIA. </w:t>
      </w:r>
      <w:r>
        <w:rPr>
          <w:rFonts w:cs="Tahoma" w:ascii="Tahoma" w:hAnsi="Tahoma"/>
          <w:sz w:val="24"/>
          <w:szCs w:val="24"/>
          <w:lang w:val="pt-BR"/>
        </w:rPr>
        <w:t>SÚMULA 83/STJ.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1.  Não há a alegada violação do art. 535 do CPC, ante a efetiva abordagem das questões suscitadas no processo, quais seja, ilegitimidade passiva e ativa ad causam, bem como a matéria de mérito atinente à incidência de ICMS.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2. Entendimento contrário ao interesse da parte e omissão no julgado são conceitos que não se confundem.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3. O STJ reconhece ao consumidor, contribuinte de fato, legitimidade para propor ação fundada na inexigibilidade de tributo que entenda indevido.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>4.  "(...) o STJ possui entendimento no sentido de que a Taxa de Uso do Sistema de Transmissão de Energia Elétrica - TUST e a Taxa de Uso do Sistema de Distribuição de Energia Elétrica - TUSD não fazem parte da base de cálculo do ICMS" (AgRg nos  EDcl  no  REsp 1.267.162/MG,  Rel. Ministro HERMAN BENJAMIN, SEGUNDA TURMA, julgado em 16/08/2012, DJe 24/08/2012.).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Agravo regimental improvido.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(AgRg no AREsp 845.353/SC, Rel. Ministro HUMBERTO MARTINS, SEGUNDA TURMA, julgado em 05/04/2016, DJe 13/04/2016, sem grifo no original)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>Desta forma, estando claro que os valores pagos a título de TUST e TUSD tem natureza meramente tarifária, por conta do uso das redes de transmissão e distribuição, é certo que o ICMS só pode ser calculado sobre a energia elétrica quando esta circular juridicamente na condição de mercadoria, caindo por terra os argumentos utilizados pelo Réu em sua defesa.</w:t>
      </w:r>
    </w:p>
    <w:p>
      <w:pPr>
        <w:pStyle w:val="NoSpacing1"/>
        <w:spacing w:lineRule="auto" w:line="360" w:before="360" w:after="240"/>
        <w:rPr>
          <w:rFonts w:ascii="Tahoma" w:hAnsi="Tahoma" w:cs="Tahoma"/>
          <w:b/>
          <w:b/>
          <w:bCs/>
          <w:sz w:val="24"/>
          <w:szCs w:val="24"/>
          <w:lang w:val="pt-BR"/>
        </w:rPr>
      </w:pPr>
      <w:r>
        <w:rPr>
          <w:rFonts w:cs="Tahoma" w:ascii="Tahoma" w:hAnsi="Tahoma"/>
          <w:b/>
          <w:bCs/>
          <w:sz w:val="24"/>
          <w:szCs w:val="24"/>
          <w:lang w:val="pt-BR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b/>
          <w:b/>
          <w:bCs/>
          <w:sz w:val="24"/>
          <w:szCs w:val="24"/>
          <w:lang w:val="pt-BR"/>
        </w:rPr>
      </w:pPr>
      <w:r>
        <w:rPr>
          <w:rFonts w:cs="Tahoma" w:ascii="Tahoma" w:hAnsi="Tahoma"/>
          <w:b/>
          <w:bCs/>
          <w:sz w:val="24"/>
          <w:szCs w:val="24"/>
          <w:lang w:val="pt-BR"/>
        </w:rPr>
        <w:t>DOS PEDIDOS</w:t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lineRule="auto" w:line="360" w:before="360" w:after="240"/>
        <w:rPr>
          <w:rFonts w:ascii="Tahoma" w:hAnsi="Tahoma" w:cs="Tahoma"/>
          <w:sz w:val="24"/>
          <w:szCs w:val="24"/>
          <w:lang w:val="pt-BR"/>
        </w:rPr>
      </w:pPr>
      <w:bookmarkStart w:id="1" w:name="_GoBack"/>
      <w:bookmarkEnd w:id="1"/>
      <w:r>
        <w:rPr>
          <w:rFonts w:cs="Tahoma" w:ascii="Tahoma" w:hAnsi="Tahoma"/>
          <w:sz w:val="24"/>
          <w:szCs w:val="24"/>
          <w:lang w:val="pt-BR"/>
        </w:rPr>
        <w:t>Diante do exposto, requer sejam afastadas as alegações constantes na contestação apresentada pelo Réu e, consequentemente, sejam julgados totalmente procedentes os pedidos formulados na inicial.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2" w:name="_Hlk19878861"/>
      <w:bookmarkEnd w:id="2"/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701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5" w:name="_Hlk18660203"/>
    <w:bookmarkStart w:id="6" w:name="_Hlk18660203"/>
    <w:bookmarkEnd w:id="6"/>
  </w:p>
  <w:p>
    <w:pPr>
      <w:pStyle w:val="Rodap"/>
      <w:tabs>
        <w:tab w:val="clear" w:pos="720"/>
        <w:tab w:val="left" w:pos="3945" w:leader="none"/>
        <w:tab w:val="center" w:pos="4536" w:leader="none"/>
      </w:tabs>
      <w:rPr>
        <w:rFonts w:ascii="Calibri" w:hAnsi="Calibri" w:cs="Calibri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1" wp14:anchorId="2C757B2C">
              <wp:simplePos x="0" y="0"/>
              <wp:positionH relativeFrom="page">
                <wp:posOffset>6772275</wp:posOffset>
              </wp:positionH>
              <wp:positionV relativeFrom="paragraph">
                <wp:posOffset>137160</wp:posOffset>
              </wp:positionV>
              <wp:extent cx="66040" cy="15621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5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rStyle w:val="Pagenumber"/>
                              <w:rFonts w:cs="Calibri" w:ascii="Calibri" w:hAnsi="Calibri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Calibri"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Calibri"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Calibri" w:ascii="Calibri" w:hAnsi="Calibri"/>
                              <w:color w:val="000000"/>
                            </w:rPr>
                            <w:t>10</w: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Calibri"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533.25pt;margin-top:10.8pt;width:5.1pt;height:12.2pt;mso-position-horizontal-relative:page" wp14:anchorId="2C757B2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rStyle w:val="Pagenumber"/>
                        <w:rFonts w:cs="Calibri" w:ascii="Calibri" w:hAnsi="Calibri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szCs w:val="20"/>
                        <w:rFonts w:cs="Calibri"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sz w:val="20"/>
                        <w:szCs w:val="20"/>
                        <w:rFonts w:cs="Calibri"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szCs w:val="20"/>
                        <w:rFonts w:cs="Calibri" w:ascii="Calibri" w:hAnsi="Calibri"/>
                        <w:color w:val="000000"/>
                      </w:rPr>
                      <w:t>10</w:t>
                    </w:r>
                    <w:r>
                      <w:rPr>
                        <w:rStyle w:val="Pagenumber"/>
                        <w:sz w:val="20"/>
                        <w:szCs w:val="20"/>
                        <w:rFonts w:cs="Calibri"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cs="Calibri" w:ascii="Calibri" w:hAnsi="Calibri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3" w:name="_Hlk19040810"/>
    <w:bookmarkStart w:id="4" w:name="_Hlk19040810"/>
    <w:bookmarkEnd w:id="4"/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bidi="ar-SA" w:val="pt-BR"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ind w:left="2268" w:hanging="0"/>
      <w:jc w:val="both"/>
      <w:outlineLvl w:val="2"/>
    </w:pPr>
    <w:rPr>
      <w:rFonts w:ascii="Arial" w:hAnsi="Arial" w:eastAsia="Arial Unicode MS" w:cs="Arial"/>
      <w:b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ind w:left="142" w:firstLine="1276"/>
      <w:jc w:val="both"/>
      <w:outlineLvl w:val="3"/>
    </w:pPr>
    <w:rPr>
      <w:rFonts w:ascii="Arial" w:hAnsi="Arial" w:eastAsia="Arial Unicode MS" w:cs="Arial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cs="Times New Roman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cs="Times New Roman"/>
    </w:rPr>
  </w:style>
  <w:style w:type="character" w:styleId="WW8Num5z1" w:customStyle="1">
    <w:name w:val="WW8Num5z1"/>
    <w:qFormat/>
    <w:rPr>
      <w:rFonts w:cs="Times New Roman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cs="Times New Roman"/>
    </w:rPr>
  </w:style>
  <w:style w:type="character" w:styleId="WW8Num12z0" w:customStyle="1">
    <w:name w:val="WW8Num12z0"/>
    <w:qFormat/>
    <w:rPr>
      <w:rFonts w:ascii="Calibri" w:hAnsi="Calibri" w:eastAsia="Calibri" w:cs="Times New Roman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HeaderChar" w:customStyle="1">
    <w:name w:val="Header Char"/>
    <w:qFormat/>
    <w:rPr>
      <w:rFonts w:ascii="Times New Roman" w:hAnsi="Times New Roman" w:cs="Times New Roman"/>
      <w:sz w:val="24"/>
      <w:szCs w:val="24"/>
      <w:lang w:val="pt-BR"/>
    </w:rPr>
  </w:style>
  <w:style w:type="character" w:styleId="FooterChar" w:customStyle="1">
    <w:name w:val="Footer Char"/>
    <w:qFormat/>
    <w:rPr>
      <w:rFonts w:ascii="Times New Roman" w:hAnsi="Times New Roman" w:cs="Times New Roman"/>
      <w:sz w:val="24"/>
      <w:szCs w:val="24"/>
      <w:lang w:val="pt-BR"/>
    </w:rPr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  <w:lang w:val="pt-BR"/>
    </w:rPr>
  </w:style>
  <w:style w:type="character" w:styleId="Applestylespan" w:customStyle="1">
    <w:name w:val="apple-style-span"/>
    <w:qFormat/>
    <w:rPr>
      <w:rFonts w:cs="Times New Roman"/>
    </w:rPr>
  </w:style>
  <w:style w:type="character" w:styleId="FootnoteTextChar" w:customStyle="1">
    <w:name w:val="Footnote Text Char"/>
    <w:qFormat/>
    <w:rPr>
      <w:rFonts w:ascii="Times New Roman" w:hAnsi="Times New Roman" w:cs="Times New Roman"/>
      <w:sz w:val="20"/>
      <w:szCs w:val="20"/>
      <w:lang w:val="pt-BR"/>
    </w:rPr>
  </w:style>
  <w:style w:type="character" w:styleId="Caracteresdenotaderodap" w:customStyle="1">
    <w:name w:val="Caracteres de nota de rodapé"/>
    <w:qFormat/>
    <w:rPr>
      <w:rFonts w:cs="Times New Roman"/>
      <w:vertAlign w:val="superscript"/>
    </w:rPr>
  </w:style>
  <w:style w:type="character" w:styleId="Appleconvertedspace" w:customStyle="1">
    <w:name w:val="apple-converted-space"/>
    <w:qFormat/>
    <w:rPr>
      <w:rFonts w:cs="Times New Roman"/>
    </w:rPr>
  </w:style>
  <w:style w:type="character" w:styleId="LinkdaInternet" w:customStyle="1">
    <w:name w:val="Link da Internet"/>
    <w:rPr>
      <w:rFonts w:cs="Times New Roman"/>
      <w:color w:val="0000FF"/>
      <w:u w:val="single"/>
    </w:rPr>
  </w:style>
  <w:style w:type="character" w:styleId="Nfaseforte" w:customStyle="1">
    <w:name w:val="Ênfase forte"/>
    <w:qFormat/>
    <w:rPr>
      <w:rFonts w:cs="Times New Roman"/>
      <w:b/>
      <w:bCs/>
    </w:rPr>
  </w:style>
  <w:style w:type="character" w:styleId="Nfase">
    <w:name w:val="Ênfase"/>
    <w:qFormat/>
    <w:rPr>
      <w:rFonts w:cs="Times New Roman"/>
      <w:i/>
      <w:iCs/>
    </w:rPr>
  </w:style>
  <w:style w:type="character" w:styleId="HTMLPreformattedChar" w:customStyle="1">
    <w:name w:val="HTML Preformatted Char"/>
    <w:qFormat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Highlightbrs" w:customStyle="1">
    <w:name w:val="highlightbrs"/>
    <w:basedOn w:val="DefaultParagraphFont"/>
    <w:qFormat/>
    <w:rPr/>
  </w:style>
  <w:style w:type="character" w:styleId="Marcas1" w:customStyle="1">
    <w:name w:val="marcas1"/>
    <w:qFormat/>
    <w:rPr>
      <w:b/>
      <w:bCs/>
      <w:color w:val="FF0000"/>
    </w:rPr>
  </w:style>
  <w:style w:type="character" w:styleId="Ncoradanotaderodap" w:customStyle="1">
    <w:name w:val="Âncora da nota de rodapé"/>
    <w:rPr>
      <w:vertAlign w:val="superscri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d7e50"/>
    <w:rPr>
      <w:rFonts w:ascii="Times New Roman" w:hAnsi="Times New Roman" w:eastAsia="Calibri" w:cs="Times New Roman"/>
      <w:sz w:val="24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>
      <w:rFonts w:ascii="Arial" w:hAnsi="Arial" w:eastAsia="Times New Roman" w:cs="Arial"/>
      <w:sz w:val="32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link w:val="RodapChar"/>
    <w:uiPriority w:val="99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1" w:customStyle="1">
    <w:name w:val="List Paragraph1"/>
    <w:basedOn w:val="Normal"/>
    <w:qFormat/>
    <w:pPr>
      <w:spacing w:before="0" w:after="0"/>
      <w:ind w:left="720" w:hanging="0"/>
      <w:contextualSpacing/>
    </w:pPr>
    <w:rPr/>
  </w:style>
  <w:style w:type="paragraph" w:styleId="Notaderodap">
    <w:name w:val="Footnote Text"/>
    <w:basedOn w:val="Normal"/>
    <w:pPr/>
    <w:rPr>
      <w:sz w:val="20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en-US"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rpodotextorecuado">
    <w:name w:val="Body Text Indent"/>
    <w:basedOn w:val="Normal"/>
    <w:pPr>
      <w:ind w:left="142" w:firstLine="1276"/>
      <w:jc w:val="both"/>
    </w:pPr>
    <w:rPr>
      <w:rFonts w:ascii="Arial" w:hAnsi="Arial" w:eastAsia="Times New Roman" w:cs="Arial"/>
      <w:sz w:val="28"/>
      <w:szCs w:val="20"/>
    </w:rPr>
  </w:style>
  <w:style w:type="paragraph" w:styleId="BodyText2">
    <w:name w:val="Body Text 2"/>
    <w:basedOn w:val="Normal"/>
    <w:qFormat/>
    <w:pPr>
      <w:jc w:val="both"/>
    </w:pPr>
    <w:rPr>
      <w:rFonts w:eastAsia="Times New Roman"/>
      <w:b/>
      <w:sz w:val="32"/>
      <w:szCs w:val="20"/>
    </w:rPr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Arial" w:hAnsi="Arial" w:eastAsia="Times New Roman" w:cs="Arial"/>
      <w:b/>
      <w:color w:val="000000"/>
      <w:sz w:val="28"/>
      <w:szCs w:val="20"/>
    </w:rPr>
  </w:style>
  <w:style w:type="paragraph" w:styleId="BodyTextIndent3">
    <w:name w:val="Body Text Indent 3"/>
    <w:basedOn w:val="Normal"/>
    <w:qFormat/>
    <w:pPr>
      <w:ind w:firstLine="1418"/>
      <w:jc w:val="both"/>
    </w:pPr>
    <w:rPr>
      <w:rFonts w:ascii="Arial" w:hAnsi="Arial" w:eastAsia="Times New Roman" w:cs="Arial"/>
      <w:sz w:val="26"/>
      <w:szCs w:val="20"/>
    </w:rPr>
  </w:style>
  <w:style w:type="paragraph" w:styleId="NoSpacing">
    <w:name w:val="No Spacing"/>
    <w:qFormat/>
    <w:pPr>
      <w:widowControl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bidi="ar-SA" w:val="pt-BR" w:eastAsia="zh-CN"/>
    </w:rPr>
  </w:style>
  <w:style w:type="paragraph" w:styleId="NoSpacing1" w:customStyle="1">
    <w:name w:val="No Spacing1"/>
    <w:qFormat/>
    <w:pPr>
      <w:widowControl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bidi="ar-SA" w:eastAsia="zh-CN"/>
    </w:rPr>
  </w:style>
  <w:style w:type="paragraph" w:styleId="EMENTA" w:customStyle="1">
    <w:name w:val="EMENTA"/>
    <w:basedOn w:val="Normal"/>
    <w:qFormat/>
    <w:pPr>
      <w:jc w:val="both"/>
    </w:pPr>
    <w:rPr>
      <w:rFonts w:eastAsia="Times New Roman"/>
    </w:rPr>
  </w:style>
  <w:style w:type="paragraph" w:styleId="Texto1" w:customStyle="1">
    <w:name w:val="texto1"/>
    <w:basedOn w:val="Normal"/>
    <w:qFormat/>
    <w:pPr>
      <w:spacing w:before="280" w:after="280"/>
    </w:pPr>
    <w:rPr>
      <w:rFonts w:eastAsia="Times New Roman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Times New Roma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Application>LibreOffice/6.4.2.2$Windows_X86_64 LibreOffice_project/4e471d8c02c9c90f512f7f9ead8875b57fcb1ec3</Application>
  <Pages>10</Pages>
  <Words>2219</Words>
  <Characters>12064</Characters>
  <CharactersWithSpaces>14220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2015-08-18T16:28:00Z</dcterms:created>
  <dc:creator>eXPerience</dc:creator>
  <dc:description/>
  <dc:language>pt-BR</dc:language>
  <cp:lastModifiedBy/>
  <cp:lastPrinted>2011-04-08T14:48:00Z</cp:lastPrinted>
  <dcterms:modified xsi:type="dcterms:W3CDTF">2020-04-15T14:50:19Z</dcterms:modified>
  <cp:revision>69</cp:revision>
  <dc:subject/>
  <dc:title>EXCELENTÍSSIMO(A) JUIZ(A) DE DIREITO DA 1ª VARA DA FAMÍLIA DA COMARCA DA CAPITAL/SC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